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10" w:type="dxa"/>
          <w:right w:w="10" w:type="dxa"/>
        </w:tblCellMar>
        <w:tblLook w:val="0000" w:firstRow="0" w:lastRow="0" w:firstColumn="0" w:lastColumn="0" w:noHBand="0" w:noVBand="0"/>
      </w:tblPr>
      <w:tblGrid>
        <w:gridCol w:w="2390"/>
        <w:gridCol w:w="6812"/>
      </w:tblGrid>
      <w:tr w:rsidR="00BA5AF4">
        <w:trPr>
          <w:trHeight w:val="1971"/>
        </w:trPr>
        <w:tc>
          <w:tcPr>
            <w:tcW w:w="2390" w:type="dxa"/>
            <w:shd w:val="clear" w:color="auto" w:fill="auto"/>
            <w:tcMar>
              <w:top w:w="0" w:type="dxa"/>
              <w:left w:w="28" w:type="dxa"/>
              <w:bottom w:w="0" w:type="dxa"/>
              <w:right w:w="28" w:type="dxa"/>
            </w:tcMar>
            <w:vAlign w:val="center"/>
          </w:tcPr>
          <w:p w:rsidR="00BA5AF4" w:rsidRDefault="00491728">
            <w:pPr>
              <w:ind w:left="480" w:hanging="480"/>
              <w:jc w:val="center"/>
            </w:pPr>
            <w:r>
              <w:rPr>
                <w:noProof/>
                <w:color w:val="000000"/>
              </w:rPr>
              <w:drawing>
                <wp:inline distT="0" distB="0" distL="0" distR="0">
                  <wp:extent cx="1356356" cy="1348739"/>
                  <wp:effectExtent l="0" t="0" r="0" b="0"/>
                  <wp:docPr id="3" name="圖片 1" descr="Photograp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56356" cy="1348739"/>
                          </a:xfrm>
                          <a:prstGeom prst="rect">
                            <a:avLst/>
                          </a:prstGeom>
                          <a:noFill/>
                          <a:ln>
                            <a:noFill/>
                            <a:prstDash/>
                          </a:ln>
                        </pic:spPr>
                      </pic:pic>
                    </a:graphicData>
                  </a:graphic>
                </wp:inline>
              </w:drawing>
            </w:r>
            <w:r>
              <w:t xml:space="preserve">   </w:t>
            </w:r>
          </w:p>
        </w:tc>
        <w:tc>
          <w:tcPr>
            <w:tcW w:w="6812" w:type="dxa"/>
            <w:shd w:val="clear" w:color="auto" w:fill="auto"/>
            <w:tcMar>
              <w:top w:w="0" w:type="dxa"/>
              <w:left w:w="28" w:type="dxa"/>
              <w:bottom w:w="0" w:type="dxa"/>
              <w:right w:w="28" w:type="dxa"/>
            </w:tcMar>
          </w:tcPr>
          <w:p w:rsidR="00BA5AF4" w:rsidRDefault="00491728">
            <w:pPr>
              <w:ind w:left="1121" w:hanging="1121"/>
            </w:pPr>
            <w:r>
              <w:rPr>
                <w:rFonts w:ascii="標楷體" w:eastAsia="標楷體" w:hAnsi="標楷體"/>
                <w:b/>
                <w:sz w:val="56"/>
                <w:szCs w:val="56"/>
              </w:rPr>
              <w:t>臺灣</w:t>
            </w:r>
            <w:proofErr w:type="gramStart"/>
            <w:r>
              <w:rPr>
                <w:rFonts w:ascii="標楷體" w:eastAsia="標楷體" w:hAnsi="標楷體"/>
                <w:b/>
                <w:sz w:val="56"/>
                <w:szCs w:val="56"/>
              </w:rPr>
              <w:t>臺</w:t>
            </w:r>
            <w:proofErr w:type="gramEnd"/>
            <w:r>
              <w:rPr>
                <w:rFonts w:ascii="標楷體" w:eastAsia="標楷體" w:hAnsi="標楷體"/>
                <w:b/>
                <w:sz w:val="56"/>
                <w:szCs w:val="56"/>
              </w:rPr>
              <w:t>北地方法院新聞稿</w:t>
            </w:r>
          </w:p>
          <w:p w:rsidR="00BA5AF4" w:rsidRDefault="00491728">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發稿日期：111年11月11日</w:t>
            </w:r>
          </w:p>
          <w:p w:rsidR="00BA5AF4" w:rsidRDefault="00491728">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發稿單位：公共關係室</w:t>
            </w:r>
          </w:p>
          <w:p w:rsidR="00BA5AF4" w:rsidRDefault="00491728">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連 絡 人：行政庭長  周玉琦</w:t>
            </w:r>
          </w:p>
          <w:p w:rsidR="00BA5AF4" w:rsidRDefault="00491728">
            <w:pPr>
              <w:spacing w:line="0" w:lineRule="atLeast"/>
              <w:ind w:left="560" w:hanging="560"/>
            </w:pPr>
            <w:r>
              <w:rPr>
                <w:rFonts w:ascii="標楷體" w:eastAsia="標楷體" w:hAnsi="標楷體"/>
                <w:kern w:val="0"/>
                <w:sz w:val="28"/>
                <w:szCs w:val="28"/>
              </w:rPr>
              <w:t xml:space="preserve">    連絡電話：</w:t>
            </w:r>
            <w:r>
              <w:rPr>
                <w:rFonts w:ascii="標楷體" w:eastAsia="標楷體" w:hAnsi="標楷體"/>
                <w:sz w:val="28"/>
                <w:szCs w:val="28"/>
              </w:rPr>
              <w:t>02-23146871分機6039</w:t>
            </w:r>
            <w:r>
              <w:rPr>
                <w:rFonts w:ascii="標楷體" w:eastAsia="標楷體" w:hAnsi="標楷體"/>
              </w:rPr>
              <w:t xml:space="preserve">  編號：111-25</w:t>
            </w:r>
          </w:p>
        </w:tc>
      </w:tr>
    </w:tbl>
    <w:p w:rsidR="00BA5AF4" w:rsidRDefault="00491728">
      <w:pPr>
        <w:spacing w:line="560" w:lineRule="exact"/>
        <w:jc w:val="both"/>
      </w:pPr>
      <w:r>
        <w:rPr>
          <w:rFonts w:ascii="標楷體" w:eastAsia="標楷體" w:hAnsi="標楷體"/>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190496</wp:posOffset>
                </wp:positionV>
                <wp:extent cx="5860417" cy="35561"/>
                <wp:effectExtent l="19050" t="19050" r="26033" b="21589"/>
                <wp:wrapNone/>
                <wp:docPr id="4" name="Line 2"/>
                <wp:cNvGraphicFramePr/>
                <a:graphic xmlns:a="http://schemas.openxmlformats.org/drawingml/2006/main">
                  <a:graphicData uri="http://schemas.microsoft.com/office/word/2010/wordprocessingShape">
                    <wps:wsp>
                      <wps:cNvCnPr/>
                      <wps:spPr>
                        <a:xfrm flipV="1">
                          <a:off x="0" y="0"/>
                          <a:ext cx="5860417" cy="35561"/>
                        </a:xfrm>
                        <a:prstGeom prst="straightConnector1">
                          <a:avLst/>
                        </a:prstGeom>
                        <a:noFill/>
                        <a:ln w="28575" cap="flat">
                          <a:solidFill>
                            <a:srgbClr val="000000"/>
                          </a:solidFill>
                          <a:prstDash val="solid"/>
                          <a:round/>
                        </a:ln>
                      </wps:spPr>
                      <wps:bodyPr/>
                    </wps:wsp>
                  </a:graphicData>
                </a:graphic>
              </wp:anchor>
            </w:drawing>
          </mc:Choice>
          <mc:Fallback>
            <w:pict>
              <v:shapetype w14:anchorId="661D0A1E" id="_x0000_t32" coordsize="21600,21600" o:spt="32" o:oned="t" path="m,l21600,21600e" filled="f">
                <v:path arrowok="t" fillok="f" o:connecttype="none"/>
                <o:lock v:ext="edit" shapetype="t"/>
              </v:shapetype>
              <v:shape id="Line 2" o:spid="_x0000_s1026" type="#_x0000_t32" style="position:absolute;margin-left:0;margin-top:15pt;width:461.45pt;height:2.8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" strokeweight="2.25pt"/>
            </w:pict>
          </mc:Fallback>
        </mc:AlternateContent>
      </w:r>
    </w:p>
    <w:p w:rsidR="00BA5AF4" w:rsidRDefault="00491728">
      <w:pPr>
        <w:spacing w:line="560" w:lineRule="exact"/>
        <w:ind w:left="142" w:right="-1" w:firstLine="1"/>
        <w:jc w:val="center"/>
        <w:rPr>
          <w:rFonts w:ascii="標楷體" w:eastAsia="標楷體" w:hAnsi="標楷體"/>
          <w:b/>
          <w:sz w:val="36"/>
          <w:szCs w:val="36"/>
        </w:rPr>
      </w:pPr>
      <w:r>
        <w:rPr>
          <w:rFonts w:ascii="標楷體" w:eastAsia="標楷體" w:hAnsi="標楷體"/>
          <w:b/>
          <w:sz w:val="36"/>
          <w:szCs w:val="36"/>
        </w:rPr>
        <w:t>臺灣</w:t>
      </w:r>
      <w:proofErr w:type="gramStart"/>
      <w:r>
        <w:rPr>
          <w:rFonts w:ascii="標楷體" w:eastAsia="標楷體" w:hAnsi="標楷體"/>
          <w:b/>
          <w:sz w:val="36"/>
          <w:szCs w:val="36"/>
        </w:rPr>
        <w:t>臺</w:t>
      </w:r>
      <w:proofErr w:type="gramEnd"/>
      <w:r>
        <w:rPr>
          <w:rFonts w:ascii="標楷體" w:eastAsia="標楷體" w:hAnsi="標楷體"/>
          <w:b/>
          <w:sz w:val="36"/>
          <w:szCs w:val="36"/>
        </w:rPr>
        <w:t>北地方法院國民法官模擬法庭成果發表會</w:t>
      </w:r>
    </w:p>
    <w:p w:rsidR="00BA5AF4" w:rsidRDefault="00491728">
      <w:pPr>
        <w:spacing w:line="560" w:lineRule="exact"/>
        <w:ind w:left="142" w:right="-1" w:firstLine="1"/>
        <w:jc w:val="center"/>
        <w:rPr>
          <w:rFonts w:ascii="標楷體" w:eastAsia="標楷體" w:hAnsi="標楷體"/>
          <w:b/>
          <w:sz w:val="36"/>
          <w:szCs w:val="36"/>
        </w:rPr>
      </w:pPr>
      <w:proofErr w:type="gramStart"/>
      <w:r>
        <w:rPr>
          <w:rFonts w:ascii="標楷體" w:eastAsia="標楷體" w:hAnsi="標楷體"/>
          <w:b/>
          <w:sz w:val="36"/>
          <w:szCs w:val="36"/>
        </w:rPr>
        <w:t>暨逗陣繞</w:t>
      </w:r>
      <w:proofErr w:type="gramEnd"/>
      <w:r>
        <w:rPr>
          <w:rFonts w:ascii="標楷體" w:eastAsia="標楷體" w:hAnsi="標楷體"/>
          <w:b/>
          <w:sz w:val="36"/>
          <w:szCs w:val="36"/>
        </w:rPr>
        <w:t>法院新聞稿</w:t>
      </w:r>
    </w:p>
    <w:p w:rsidR="00BA5AF4" w:rsidRDefault="00491728" w:rsidP="008B19AE">
      <w:pPr>
        <w:spacing w:line="520" w:lineRule="exact"/>
        <w:ind w:left="0" w:firstLineChars="202" w:firstLine="566"/>
        <w:jc w:val="both"/>
        <w:rPr>
          <w:rFonts w:ascii="標楷體" w:eastAsia="標楷體" w:hAnsi="標楷體"/>
          <w:bCs/>
          <w:sz w:val="28"/>
          <w:szCs w:val="28"/>
        </w:rPr>
      </w:pPr>
      <w:r>
        <w:rPr>
          <w:rFonts w:ascii="標楷體" w:eastAsia="標楷體" w:hAnsi="標楷體"/>
          <w:bCs/>
          <w:sz w:val="28"/>
          <w:szCs w:val="28"/>
        </w:rPr>
        <w:t>國民法官法於109年8月12日總統公布後，本院已完成2輪次各4場次，合計8場的模擬法庭，在第1輪次演練階段，本院首創於國民法官選任程序中，以平板電腦搭配資訊同仁開發的答題回應程式進行候選國民法官全體詢問模式，在評議與表決時，首度採取秘密投票、開票後表決單當場銷</w:t>
      </w:r>
      <w:proofErr w:type="gramStart"/>
      <w:r>
        <w:rPr>
          <w:rFonts w:ascii="標楷體" w:eastAsia="標楷體" w:hAnsi="標楷體"/>
          <w:bCs/>
          <w:sz w:val="28"/>
          <w:szCs w:val="28"/>
        </w:rPr>
        <w:t>燬</w:t>
      </w:r>
      <w:proofErr w:type="gramEnd"/>
      <w:r>
        <w:rPr>
          <w:rFonts w:ascii="標楷體" w:eastAsia="標楷體" w:hAnsi="標楷體"/>
          <w:bCs/>
          <w:sz w:val="28"/>
          <w:szCs w:val="28"/>
        </w:rPr>
        <w:t>方式；自第3場次起，同步在每場增設2至4組的影子團，為深化模擬成效，於第2輪次各場次，分別進行「專業聚焦」、「向下扎根」、「全民參與」、「邁向國際」之個別程序主題式深度模擬與演練，再由本院研究團隊忠實紀錄各場次模擬過程及發現的問題，加以彙整、分析、歸納、提出初步意見及建議，撰寫成研究報告。</w:t>
      </w:r>
    </w:p>
    <w:p w:rsidR="00BA5AF4" w:rsidRDefault="00491728" w:rsidP="008B19AE">
      <w:pPr>
        <w:spacing w:line="520" w:lineRule="exact"/>
        <w:ind w:left="0" w:firstLine="566"/>
        <w:jc w:val="both"/>
      </w:pPr>
      <w:r>
        <w:rPr>
          <w:rFonts w:ascii="標楷體" w:eastAsia="標楷體" w:hAnsi="標楷體"/>
          <w:bCs/>
          <w:sz w:val="28"/>
          <w:szCs w:val="28"/>
        </w:rPr>
        <w:t>這兩年來，本院同仁們及積極熱心參與國民法官模擬法庭的審、檢、辯、人民及學界、各機關團體，高度期許將模擬所得成果回饋國家、司法及社會大眾，本院</w:t>
      </w:r>
      <w:proofErr w:type="gramStart"/>
      <w:r>
        <w:rPr>
          <w:rFonts w:ascii="標楷體" w:eastAsia="標楷體" w:hAnsi="標楷體"/>
          <w:bCs/>
          <w:sz w:val="28"/>
          <w:szCs w:val="28"/>
        </w:rPr>
        <w:t>特</w:t>
      </w:r>
      <w:proofErr w:type="gramEnd"/>
      <w:r>
        <w:rPr>
          <w:rFonts w:ascii="標楷體" w:eastAsia="標楷體" w:hAnsi="標楷體"/>
          <w:bCs/>
          <w:sz w:val="28"/>
          <w:szCs w:val="28"/>
        </w:rPr>
        <w:t>於111年11月15日（星期二）上午9時30分，在5樓大禮堂，舉辦「國民法官模擬法庭成果發表會</w:t>
      </w:r>
      <w:proofErr w:type="gramStart"/>
      <w:r>
        <w:rPr>
          <w:rFonts w:ascii="標楷體" w:eastAsia="標楷體" w:hAnsi="標楷體"/>
          <w:bCs/>
          <w:sz w:val="28"/>
          <w:szCs w:val="28"/>
        </w:rPr>
        <w:t>暨逗陣繞</w:t>
      </w:r>
      <w:proofErr w:type="gramEnd"/>
      <w:r>
        <w:rPr>
          <w:rFonts w:ascii="標楷體" w:eastAsia="標楷體" w:hAnsi="標楷體"/>
          <w:bCs/>
          <w:sz w:val="28"/>
          <w:szCs w:val="28"/>
        </w:rPr>
        <w:t>法院」活動，現場邀請 TPSO台北愛樂交響樂團小提琴家鄧凱鴻、大提琴家李姿慧及鋼琴家吳宜玲進行鋼琴</w:t>
      </w:r>
      <w:proofErr w:type="gramStart"/>
      <w:r>
        <w:rPr>
          <w:rFonts w:ascii="標楷體" w:eastAsia="標楷體" w:hAnsi="標楷體"/>
          <w:bCs/>
          <w:sz w:val="28"/>
          <w:szCs w:val="28"/>
        </w:rPr>
        <w:t>三</w:t>
      </w:r>
      <w:proofErr w:type="gramEnd"/>
      <w:r>
        <w:rPr>
          <w:rFonts w:ascii="標楷體" w:eastAsia="標楷體" w:hAnsi="標楷體"/>
          <w:bCs/>
          <w:sz w:val="28"/>
          <w:szCs w:val="28"/>
        </w:rPr>
        <w:t>重奏演出，並有曾在美國音樂</w:t>
      </w:r>
      <w:proofErr w:type="gramStart"/>
      <w:r>
        <w:rPr>
          <w:rFonts w:ascii="標楷體" w:eastAsia="標楷體" w:hAnsi="標楷體"/>
          <w:bCs/>
          <w:sz w:val="28"/>
          <w:szCs w:val="28"/>
        </w:rPr>
        <w:t>學院習業的</w:t>
      </w:r>
      <w:proofErr w:type="gramEnd"/>
      <w:r>
        <w:rPr>
          <w:rFonts w:ascii="標楷體" w:eastAsia="標楷體" w:hAnsi="標楷體"/>
          <w:bCs/>
          <w:sz w:val="28"/>
          <w:szCs w:val="28"/>
        </w:rPr>
        <w:t>神秘嘉賓參與演奏，研究報告新書發表首先由唐福睿導演及廖晉賦法官共同與談介紹，另由</w:t>
      </w:r>
      <w:proofErr w:type="gramStart"/>
      <w:r>
        <w:rPr>
          <w:rFonts w:ascii="標楷體" w:eastAsia="標楷體" w:hAnsi="標楷體"/>
          <w:bCs/>
          <w:sz w:val="28"/>
          <w:szCs w:val="28"/>
        </w:rPr>
        <w:t>甫</w:t>
      </w:r>
      <w:proofErr w:type="gramEnd"/>
      <w:r>
        <w:rPr>
          <w:rFonts w:ascii="標楷體" w:eastAsia="標楷體" w:hAnsi="標楷體"/>
          <w:bCs/>
          <w:sz w:val="28"/>
          <w:szCs w:val="28"/>
        </w:rPr>
        <w:t>獲得第57屆電視金鐘獎的知名主持人黃子佼與洪</w:t>
      </w:r>
      <w:proofErr w:type="gramStart"/>
      <w:r>
        <w:rPr>
          <w:rFonts w:ascii="標楷體" w:eastAsia="標楷體" w:hAnsi="標楷體"/>
          <w:bCs/>
          <w:sz w:val="28"/>
          <w:szCs w:val="28"/>
        </w:rPr>
        <w:t>甯</w:t>
      </w:r>
      <w:proofErr w:type="gramEnd"/>
      <w:r>
        <w:rPr>
          <w:rFonts w:ascii="標楷體" w:eastAsia="標楷體" w:hAnsi="標楷體"/>
          <w:bCs/>
          <w:sz w:val="28"/>
          <w:szCs w:val="28"/>
        </w:rPr>
        <w:t>雅法官共同介紹本院國民法官教育園區，本院模擬法庭成果及幕後花絮影片也將首度公開播放；</w:t>
      </w:r>
      <w:proofErr w:type="gramStart"/>
      <w:r>
        <w:rPr>
          <w:rFonts w:ascii="標楷體" w:eastAsia="標楷體" w:hAnsi="標楷體"/>
          <w:bCs/>
          <w:sz w:val="28"/>
          <w:szCs w:val="28"/>
        </w:rPr>
        <w:t>逗陣繞法院</w:t>
      </w:r>
      <w:proofErr w:type="gramEnd"/>
      <w:r>
        <w:rPr>
          <w:rFonts w:ascii="標楷體" w:eastAsia="標楷體" w:hAnsi="標楷體"/>
          <w:bCs/>
          <w:sz w:val="28"/>
          <w:szCs w:val="28"/>
        </w:rPr>
        <w:t>活動則由本</w:t>
      </w:r>
      <w:r>
        <w:rPr>
          <w:rFonts w:ascii="標楷體" w:eastAsia="標楷體" w:hAnsi="標楷體"/>
          <w:bCs/>
          <w:sz w:val="28"/>
          <w:szCs w:val="28"/>
        </w:rPr>
        <w:lastRenderedPageBreak/>
        <w:t>院新任政風林靜瑜主任主持擔綱，現場採茶會形式，設置裝置藝術及留言牆。</w:t>
      </w:r>
      <w:r>
        <w:rPr>
          <w:rFonts w:ascii="標楷體" w:eastAsia="標楷體" w:hAnsi="標楷體"/>
          <w:bCs/>
          <w:sz w:val="28"/>
          <w:szCs w:val="28"/>
          <w:lang w:eastAsia="zh-HK"/>
        </w:rPr>
        <w:t>茶會中</w:t>
      </w:r>
      <w:r>
        <w:rPr>
          <w:rFonts w:ascii="標楷體" w:eastAsia="標楷體" w:hAnsi="標楷體"/>
          <w:bCs/>
          <w:sz w:val="28"/>
          <w:szCs w:val="28"/>
        </w:rPr>
        <w:t>，</w:t>
      </w:r>
      <w:r>
        <w:rPr>
          <w:rFonts w:ascii="標楷體" w:eastAsia="標楷體" w:hAnsi="標楷體"/>
          <w:bCs/>
          <w:sz w:val="28"/>
          <w:szCs w:val="28"/>
          <w:lang w:eastAsia="zh-HK"/>
        </w:rPr>
        <w:t>本院國民法官庭長及法官全體也</w:t>
      </w:r>
      <w:proofErr w:type="gramStart"/>
      <w:r>
        <w:rPr>
          <w:rFonts w:ascii="標楷體" w:eastAsia="標楷體" w:hAnsi="標楷體"/>
          <w:bCs/>
          <w:sz w:val="28"/>
          <w:szCs w:val="28"/>
          <w:lang w:eastAsia="zh-HK"/>
        </w:rPr>
        <w:t>將在場與</w:t>
      </w:r>
      <w:proofErr w:type="gramEnd"/>
      <w:r>
        <w:rPr>
          <w:rFonts w:ascii="標楷體" w:eastAsia="標楷體" w:hAnsi="標楷體"/>
          <w:bCs/>
          <w:sz w:val="28"/>
          <w:szCs w:val="28"/>
          <w:lang w:eastAsia="zh-HK"/>
        </w:rPr>
        <w:t>來賓相互交流</w:t>
      </w:r>
      <w:r>
        <w:rPr>
          <w:rFonts w:ascii="標楷體" w:eastAsia="標楷體" w:hAnsi="標楷體"/>
          <w:bCs/>
          <w:sz w:val="28"/>
          <w:szCs w:val="28"/>
        </w:rPr>
        <w:t>，積極與社會對話，使多元的聲音進入法院。</w:t>
      </w:r>
    </w:p>
    <w:p w:rsidR="00BA5AF4" w:rsidRDefault="00491728" w:rsidP="008B19AE">
      <w:pPr>
        <w:spacing w:line="520" w:lineRule="exact"/>
        <w:ind w:left="0" w:firstLine="566"/>
        <w:jc w:val="both"/>
        <w:rPr>
          <w:rFonts w:ascii="標楷體" w:eastAsia="標楷體" w:hAnsi="標楷體"/>
          <w:sz w:val="28"/>
          <w:szCs w:val="28"/>
        </w:rPr>
      </w:pPr>
      <w:r>
        <w:rPr>
          <w:rFonts w:ascii="標楷體" w:eastAsia="標楷體" w:hAnsi="標楷體"/>
          <w:bCs/>
          <w:sz w:val="28"/>
          <w:szCs w:val="28"/>
        </w:rPr>
        <w:t>感謝司法院、各法院、檢察署、律師公會、法律扶助基金會、學界、各機關、團體及民眾、里民對本活動的支持，欲參加者請趕快把握機會至本院網站報名，未能到場之民眾，也可以於當日上午9時30分至本院網站點選連結觀看。在這國民法官新制即將施行的最後</w:t>
      </w:r>
      <w:proofErr w:type="gramStart"/>
      <w:r>
        <w:rPr>
          <w:rFonts w:ascii="標楷體" w:eastAsia="標楷體" w:hAnsi="標楷體"/>
          <w:bCs/>
          <w:sz w:val="28"/>
          <w:szCs w:val="28"/>
        </w:rPr>
        <w:t>一</w:t>
      </w:r>
      <w:proofErr w:type="gramEnd"/>
      <w:r>
        <w:rPr>
          <w:rFonts w:ascii="標楷體" w:eastAsia="標楷體" w:hAnsi="標楷體"/>
          <w:bCs/>
          <w:sz w:val="28"/>
          <w:szCs w:val="28"/>
        </w:rPr>
        <w:t>哩路上，本院誠摯邀請各界</w:t>
      </w:r>
      <w:r>
        <w:rPr>
          <w:rFonts w:ascii="標楷體" w:eastAsia="標楷體" w:hAnsi="標楷體"/>
          <w:sz w:val="28"/>
          <w:szCs w:val="28"/>
        </w:rPr>
        <w:t>一同見證這歷史性的一刻，期使國民法官新制在軌道上順利前行。</w:t>
      </w:r>
    </w:p>
    <w:p w:rsidR="00986BBB" w:rsidRDefault="00986BBB" w:rsidP="00986BBB">
      <w:pPr>
        <w:spacing w:line="520" w:lineRule="exact"/>
        <w:jc w:val="both"/>
        <w:rPr>
          <w:rFonts w:ascii="標楷體" w:eastAsia="標楷體" w:hAnsi="標楷體"/>
          <w:bCs/>
          <w:sz w:val="28"/>
          <w:szCs w:val="28"/>
        </w:rPr>
      </w:pPr>
      <w:bookmarkStart w:id="0" w:name="_GoBack"/>
      <w:bookmarkEnd w:id="0"/>
      <w:r w:rsidRPr="00986BBB">
        <w:rPr>
          <w:rFonts w:ascii="標楷體" w:eastAsia="標楷體" w:hAnsi="標楷體" w:hint="eastAsia"/>
          <w:bCs/>
          <w:sz w:val="28"/>
          <w:szCs w:val="28"/>
        </w:rPr>
        <w:t>本院網址：</w:t>
      </w:r>
      <w:hyperlink r:id="rId7" w:history="1">
        <w:r w:rsidRPr="009D36F6">
          <w:rPr>
            <w:rStyle w:val="ab"/>
            <w:rFonts w:ascii="標楷體" w:eastAsia="標楷體" w:hAnsi="標楷體" w:hint="eastAsia"/>
            <w:bCs/>
            <w:sz w:val="28"/>
            <w:szCs w:val="28"/>
          </w:rPr>
          <w:t>https://tpd.judicial.gov.tw/tw/mp-151.html</w:t>
        </w:r>
      </w:hyperlink>
    </w:p>
    <w:sectPr w:rsidR="00986BBB">
      <w:headerReference w:type="default" r:id="rId8"/>
      <w:footerReference w:type="default" r:id="rId9"/>
      <w:pgSz w:w="11906" w:h="16838"/>
      <w:pgMar w:top="1134" w:right="1701" w:bottom="1440" w:left="1701" w:header="851" w:footer="992" w:gutter="0"/>
      <w:cols w:space="720"/>
      <w:docGrid w:type="lines" w:linePitch="49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5B" w:rsidRDefault="008F1B5B">
      <w:pPr>
        <w:spacing w:line="240" w:lineRule="auto"/>
      </w:pPr>
      <w:r>
        <w:separator/>
      </w:r>
    </w:p>
  </w:endnote>
  <w:endnote w:type="continuationSeparator" w:id="0">
    <w:p w:rsidR="008F1B5B" w:rsidRDefault="008F1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F4" w:rsidRDefault="00491728">
    <w:pPr>
      <w:pStyle w:val="a3"/>
      <w:ind w:left="400" w:hanging="40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A5AF4" w:rsidRDefault="00491728">
                          <w:pPr>
                            <w:pStyle w:val="a3"/>
                            <w:ind w:left="400" w:hanging="400"/>
                          </w:pPr>
                          <w:r>
                            <w:rPr>
                              <w:rStyle w:val="a4"/>
                            </w:rPr>
                            <w:fldChar w:fldCharType="begin"/>
                          </w:r>
                          <w:r>
                            <w:rPr>
                              <w:rStyle w:val="a4"/>
                            </w:rPr>
                            <w:instrText xml:space="preserve"> PAGE </w:instrText>
                          </w:r>
                          <w:r>
                            <w:rPr>
                              <w:rStyle w:val="a4"/>
                            </w:rPr>
                            <w:fldChar w:fldCharType="separate"/>
                          </w:r>
                          <w:r w:rsidR="001A040D">
                            <w:rPr>
                              <w:rStyle w:val="a4"/>
                              <w:noProof/>
                            </w:rPr>
                            <w:t>1</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CO4ZoezgEAAHgDAAAOAAAAAAAAAAAAAAAA&#10;AC4CAABkcnMvZTJvRG9jLnhtbFBLAQItABQABgAIAAAAIQAE0ugP0gAAAP8AAAAPAAAAAAAAAAAA&#10;AAAAACgEAABkcnMvZG93bnJldi54bWxQSwUGAAAAAAQABADzAAAAJwUAAAAA&#10;" filled="f" stroked="f">
              <v:textbox style="mso-fit-shape-to-text:t" inset="0,0,0,0">
                <w:txbxContent>
                  <w:p w:rsidR="00BA5AF4" w:rsidRDefault="00491728">
                    <w:pPr>
                      <w:pStyle w:val="a3"/>
                      <w:ind w:left="400" w:hanging="400"/>
                    </w:pPr>
                    <w:r>
                      <w:rPr>
                        <w:rStyle w:val="a4"/>
                      </w:rPr>
                      <w:fldChar w:fldCharType="begin"/>
                    </w:r>
                    <w:r>
                      <w:rPr>
                        <w:rStyle w:val="a4"/>
                      </w:rPr>
                      <w:instrText xml:space="preserve"> PAGE </w:instrText>
                    </w:r>
                    <w:r>
                      <w:rPr>
                        <w:rStyle w:val="a4"/>
                      </w:rPr>
                      <w:fldChar w:fldCharType="separate"/>
                    </w:r>
                    <w:r w:rsidR="001A040D">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5B" w:rsidRDefault="008F1B5B">
      <w:pPr>
        <w:spacing w:line="240" w:lineRule="auto"/>
      </w:pPr>
      <w:r>
        <w:rPr>
          <w:color w:val="000000"/>
        </w:rPr>
        <w:separator/>
      </w:r>
    </w:p>
  </w:footnote>
  <w:footnote w:type="continuationSeparator" w:id="0">
    <w:p w:rsidR="008F1B5B" w:rsidRDefault="008F1B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F4" w:rsidRDefault="00BA5AF4">
    <w:pPr>
      <w:pStyle w:val="a9"/>
      <w:ind w:left="400" w:hanging="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F4"/>
    <w:rsid w:val="001739F5"/>
    <w:rsid w:val="001A040D"/>
    <w:rsid w:val="002D5F34"/>
    <w:rsid w:val="00491728"/>
    <w:rsid w:val="005D28A3"/>
    <w:rsid w:val="0070676A"/>
    <w:rsid w:val="00877E1B"/>
    <w:rsid w:val="008B19AE"/>
    <w:rsid w:val="008F1B5B"/>
    <w:rsid w:val="00985E01"/>
    <w:rsid w:val="00986BBB"/>
    <w:rsid w:val="00BA5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419EA6-D988-4234-965B-97CB5F21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360" w:lineRule="auto"/>
      <w:ind w:left="200" w:hanging="200"/>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rPr>
      <w:rFonts w:ascii="Arial" w:hAnsi="Arial"/>
      <w:sz w:val="18"/>
      <w:szCs w:val="18"/>
    </w:rPr>
  </w:style>
  <w:style w:type="character" w:styleId="a6">
    <w:name w:val="annotation reference"/>
    <w:rPr>
      <w:sz w:val="18"/>
      <w:szCs w:val="18"/>
    </w:rPr>
  </w:style>
  <w:style w:type="paragraph" w:styleId="a7">
    <w:name w:val="annotation text"/>
    <w:basedOn w:val="a"/>
  </w:style>
  <w:style w:type="paragraph" w:styleId="a8">
    <w:name w:val="annotation subject"/>
    <w:basedOn w:val="a7"/>
    <w:next w:val="a7"/>
    <w:rPr>
      <w:b/>
      <w:bCs/>
    </w:rPr>
  </w:style>
  <w:style w:type="paragraph" w:styleId="3">
    <w:name w:val="Body Text Indent 3"/>
    <w:basedOn w:val="a"/>
    <w:rPr>
      <w:kern w:val="0"/>
      <w:szCs w:val="20"/>
    </w:rPr>
  </w:style>
  <w:style w:type="paragraph" w:styleId="a9">
    <w:name w:val="header"/>
    <w:basedOn w:val="a"/>
    <w:pPr>
      <w:tabs>
        <w:tab w:val="center" w:pos="4153"/>
        <w:tab w:val="right" w:pos="8306"/>
      </w:tabs>
      <w:snapToGrid w:val="0"/>
    </w:pPr>
    <w:rPr>
      <w:sz w:val="20"/>
      <w:szCs w:val="20"/>
    </w:rPr>
  </w:style>
  <w:style w:type="paragraph" w:styleId="aa">
    <w:name w:val="List Paragraph"/>
    <w:basedOn w:val="a"/>
    <w:pPr>
      <w:ind w:left="480"/>
    </w:pPr>
    <w:rPr>
      <w:rFonts w:ascii="Calibri" w:hAnsi="Calibri"/>
      <w:szCs w:val="22"/>
    </w:rPr>
  </w:style>
  <w:style w:type="character" w:styleId="ab">
    <w:name w:val="Hyperlink"/>
    <w:basedOn w:val="a0"/>
    <w:rPr>
      <w:color w:val="0563C1"/>
      <w:u w:val="single"/>
    </w:rPr>
  </w:style>
  <w:style w:type="character" w:styleId="ac">
    <w:name w:val="FollowedHyperlink"/>
    <w:basedOn w:val="a0"/>
    <w:rPr>
      <w:color w:val="954F72"/>
      <w:u w:val="single"/>
    </w:rPr>
  </w:style>
  <w:style w:type="table" w:styleId="ad">
    <w:name w:val="Table Grid"/>
    <w:basedOn w:val="a1"/>
    <w:uiPriority w:val="39"/>
    <w:rsid w:val="0098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pd.judicial.gov.tw/tw/mp-15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學者簡介</dc:title>
  <dc:subject/>
  <dc:creator>ha-vivian</dc:creator>
  <cp:lastModifiedBy>tpduser</cp:lastModifiedBy>
  <cp:revision>5</cp:revision>
  <cp:lastPrinted>2022-11-11T04:18:00Z</cp:lastPrinted>
  <dcterms:created xsi:type="dcterms:W3CDTF">2022-11-11T06:59:00Z</dcterms:created>
  <dcterms:modified xsi:type="dcterms:W3CDTF">2022-11-11T07:14:00Z</dcterms:modified>
</cp:coreProperties>
</file>