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2" w:type="dxa"/>
        <w:tblInd w:w="-152" w:type="dxa"/>
        <w:tblCellMar>
          <w:left w:w="10" w:type="dxa"/>
          <w:right w:w="10" w:type="dxa"/>
        </w:tblCellMar>
        <w:tblLook w:val="0000" w:firstRow="0" w:lastRow="0" w:firstColumn="0" w:lastColumn="0" w:noHBand="0" w:noVBand="0"/>
      </w:tblPr>
      <w:tblGrid>
        <w:gridCol w:w="2279"/>
        <w:gridCol w:w="6923"/>
      </w:tblGrid>
      <w:tr w:rsidR="00970F84">
        <w:trPr>
          <w:trHeight w:val="1971"/>
        </w:trPr>
        <w:tc>
          <w:tcPr>
            <w:tcW w:w="2279" w:type="dxa"/>
            <w:shd w:val="clear" w:color="auto" w:fill="auto"/>
            <w:tcMar>
              <w:top w:w="0" w:type="dxa"/>
              <w:left w:w="28" w:type="dxa"/>
              <w:bottom w:w="0" w:type="dxa"/>
              <w:right w:w="28" w:type="dxa"/>
            </w:tcMar>
            <w:vAlign w:val="center"/>
          </w:tcPr>
          <w:p w:rsidR="00970F84" w:rsidRDefault="002F0CE0">
            <w:pPr>
              <w:ind w:left="480" w:hanging="480"/>
              <w:jc w:val="both"/>
            </w:pPr>
            <w:r>
              <w:rPr>
                <w:noProof/>
                <w:color w:val="000000"/>
              </w:rPr>
              <w:drawing>
                <wp:inline distT="0" distB="0" distL="0" distR="0">
                  <wp:extent cx="1356356" cy="1348739"/>
                  <wp:effectExtent l="0" t="0" r="0" b="0"/>
                  <wp:docPr id="2" name="圖片 1" descr="Photograp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356356" cy="1348739"/>
                          </a:xfrm>
                          <a:prstGeom prst="rect">
                            <a:avLst/>
                          </a:prstGeom>
                          <a:noFill/>
                          <a:ln>
                            <a:noFill/>
                            <a:prstDash/>
                          </a:ln>
                        </pic:spPr>
                      </pic:pic>
                    </a:graphicData>
                  </a:graphic>
                </wp:inline>
              </w:drawing>
            </w:r>
            <w:r>
              <w:t xml:space="preserve">   </w:t>
            </w:r>
          </w:p>
        </w:tc>
        <w:tc>
          <w:tcPr>
            <w:tcW w:w="6923" w:type="dxa"/>
            <w:shd w:val="clear" w:color="auto" w:fill="auto"/>
            <w:tcMar>
              <w:top w:w="0" w:type="dxa"/>
              <w:left w:w="28" w:type="dxa"/>
              <w:bottom w:w="0" w:type="dxa"/>
              <w:right w:w="28" w:type="dxa"/>
            </w:tcMar>
          </w:tcPr>
          <w:p w:rsidR="00970F84" w:rsidRDefault="002F0CE0">
            <w:pPr>
              <w:ind w:left="1121" w:hanging="1121"/>
              <w:jc w:val="both"/>
            </w:pPr>
            <w:r>
              <w:rPr>
                <w:rFonts w:ascii="標楷體" w:eastAsia="標楷體" w:hAnsi="標楷體"/>
                <w:b/>
                <w:sz w:val="56"/>
                <w:szCs w:val="56"/>
              </w:rPr>
              <w:t>臺灣</w:t>
            </w:r>
            <w:proofErr w:type="gramStart"/>
            <w:r>
              <w:rPr>
                <w:rFonts w:ascii="標楷體" w:eastAsia="標楷體" w:hAnsi="標楷體"/>
                <w:b/>
                <w:sz w:val="56"/>
                <w:szCs w:val="56"/>
              </w:rPr>
              <w:t>臺</w:t>
            </w:r>
            <w:proofErr w:type="gramEnd"/>
            <w:r>
              <w:rPr>
                <w:rFonts w:ascii="標楷體" w:eastAsia="標楷體" w:hAnsi="標楷體"/>
                <w:b/>
                <w:sz w:val="56"/>
                <w:szCs w:val="56"/>
              </w:rPr>
              <w:t>北地方法院新聞稿</w:t>
            </w:r>
          </w:p>
          <w:p w:rsidR="00970F84" w:rsidRDefault="002F0CE0">
            <w:pPr>
              <w:spacing w:line="0" w:lineRule="atLeast"/>
              <w:ind w:left="560" w:hanging="560"/>
              <w:jc w:val="both"/>
              <w:rPr>
                <w:rFonts w:ascii="標楷體" w:eastAsia="標楷體" w:hAnsi="標楷體"/>
                <w:sz w:val="28"/>
                <w:szCs w:val="28"/>
              </w:rPr>
            </w:pPr>
            <w:r>
              <w:rPr>
                <w:rFonts w:ascii="標楷體" w:eastAsia="標楷體" w:hAnsi="標楷體"/>
                <w:sz w:val="28"/>
                <w:szCs w:val="28"/>
              </w:rPr>
              <w:t xml:space="preserve">    發稿日期：</w:t>
            </w:r>
            <w:r w:rsidR="00E92F03">
              <w:rPr>
                <w:rFonts w:ascii="標楷體" w:eastAsia="標楷體" w:hAnsi="標楷體"/>
                <w:sz w:val="28"/>
                <w:szCs w:val="28"/>
              </w:rPr>
              <w:t>111</w:t>
            </w:r>
            <w:r>
              <w:rPr>
                <w:rFonts w:ascii="標楷體" w:eastAsia="標楷體" w:hAnsi="標楷體"/>
                <w:sz w:val="28"/>
                <w:szCs w:val="28"/>
              </w:rPr>
              <w:t>年</w:t>
            </w:r>
            <w:r w:rsidR="00204EA7">
              <w:rPr>
                <w:rFonts w:ascii="標楷體" w:eastAsia="標楷體" w:hAnsi="標楷體" w:hint="eastAsia"/>
                <w:sz w:val="28"/>
                <w:szCs w:val="28"/>
              </w:rPr>
              <w:t>5</w:t>
            </w:r>
            <w:r>
              <w:rPr>
                <w:rFonts w:ascii="標楷體" w:eastAsia="標楷體" w:hAnsi="標楷體"/>
                <w:sz w:val="28"/>
                <w:szCs w:val="28"/>
              </w:rPr>
              <w:t>月</w:t>
            </w:r>
            <w:r w:rsidR="00AF3F13">
              <w:rPr>
                <w:rFonts w:ascii="標楷體" w:eastAsia="標楷體" w:hAnsi="標楷體"/>
                <w:sz w:val="28"/>
                <w:szCs w:val="28"/>
              </w:rPr>
              <w:t>1</w:t>
            </w:r>
            <w:r w:rsidR="00204EA7">
              <w:rPr>
                <w:rFonts w:ascii="標楷體" w:eastAsia="標楷體" w:hAnsi="標楷體" w:hint="eastAsia"/>
                <w:sz w:val="28"/>
                <w:szCs w:val="28"/>
              </w:rPr>
              <w:t>8</w:t>
            </w:r>
            <w:r>
              <w:rPr>
                <w:rFonts w:ascii="標楷體" w:eastAsia="標楷體" w:hAnsi="標楷體"/>
                <w:sz w:val="28"/>
                <w:szCs w:val="28"/>
              </w:rPr>
              <w:t>日</w:t>
            </w:r>
          </w:p>
          <w:p w:rsidR="00970F84" w:rsidRDefault="002F0CE0">
            <w:pPr>
              <w:spacing w:line="0" w:lineRule="atLeast"/>
              <w:ind w:left="560" w:hanging="560"/>
              <w:jc w:val="both"/>
              <w:rPr>
                <w:rFonts w:ascii="標楷體" w:eastAsia="標楷體" w:hAnsi="標楷體"/>
                <w:sz w:val="28"/>
                <w:szCs w:val="28"/>
              </w:rPr>
            </w:pPr>
            <w:r>
              <w:rPr>
                <w:rFonts w:ascii="標楷體" w:eastAsia="標楷體" w:hAnsi="標楷體"/>
                <w:sz w:val="28"/>
                <w:szCs w:val="28"/>
              </w:rPr>
              <w:t xml:space="preserve">    發稿單位：公共關係室</w:t>
            </w:r>
          </w:p>
          <w:p w:rsidR="00970F84" w:rsidRDefault="002F0CE0">
            <w:pPr>
              <w:spacing w:line="0" w:lineRule="atLeast"/>
              <w:ind w:left="560" w:hanging="560"/>
              <w:jc w:val="both"/>
            </w:pPr>
            <w:r>
              <w:rPr>
                <w:rFonts w:ascii="標楷體" w:eastAsia="標楷體" w:hAnsi="標楷體"/>
                <w:sz w:val="28"/>
                <w:szCs w:val="28"/>
              </w:rPr>
              <w:t xml:space="preserve">    連 絡 人：</w:t>
            </w:r>
            <w:r>
              <w:rPr>
                <w:rFonts w:ascii="標楷體" w:eastAsia="標楷體" w:hAnsi="標楷體"/>
                <w:sz w:val="28"/>
                <w:szCs w:val="28"/>
                <w:lang w:eastAsia="zh-HK"/>
              </w:rPr>
              <w:t>行政庭長</w:t>
            </w:r>
            <w:r>
              <w:rPr>
                <w:rFonts w:ascii="標楷體" w:eastAsia="標楷體" w:hAnsi="標楷體"/>
                <w:sz w:val="28"/>
                <w:szCs w:val="28"/>
              </w:rPr>
              <w:t xml:space="preserve">  </w:t>
            </w:r>
            <w:r>
              <w:rPr>
                <w:rFonts w:ascii="標楷體" w:eastAsia="標楷體" w:hAnsi="標楷體"/>
                <w:sz w:val="28"/>
                <w:szCs w:val="28"/>
                <w:lang w:eastAsia="zh-HK"/>
              </w:rPr>
              <w:t>黃珮禎</w:t>
            </w:r>
          </w:p>
          <w:p w:rsidR="00970F84" w:rsidRPr="006E57FF" w:rsidRDefault="002F0CE0" w:rsidP="00AF3F13">
            <w:pPr>
              <w:spacing w:line="0" w:lineRule="atLeast"/>
              <w:ind w:left="560" w:hanging="560"/>
              <w:jc w:val="both"/>
            </w:pPr>
            <w:r>
              <w:rPr>
                <w:rFonts w:ascii="標楷體" w:eastAsia="標楷體" w:hAnsi="標楷體"/>
                <w:kern w:val="0"/>
                <w:sz w:val="28"/>
                <w:szCs w:val="28"/>
              </w:rPr>
              <w:t xml:space="preserve">    連絡電話：</w:t>
            </w:r>
            <w:r>
              <w:rPr>
                <w:rFonts w:ascii="標楷體" w:eastAsia="標楷體" w:hAnsi="標楷體"/>
                <w:sz w:val="28"/>
                <w:szCs w:val="28"/>
              </w:rPr>
              <w:t>02-23146871分機6039</w:t>
            </w:r>
            <w:r>
              <w:rPr>
                <w:rFonts w:ascii="標楷體" w:eastAsia="標楷體" w:hAnsi="標楷體"/>
              </w:rPr>
              <w:t xml:space="preserve">  編號：</w:t>
            </w:r>
            <w:r w:rsidR="00BC63B0">
              <w:rPr>
                <w:rFonts w:ascii="標楷體" w:eastAsia="標楷體" w:hAnsi="標楷體" w:hint="eastAsia"/>
              </w:rPr>
              <w:t>11</w:t>
            </w:r>
            <w:r w:rsidR="00412BF7">
              <w:rPr>
                <w:rFonts w:ascii="標楷體" w:eastAsia="標楷體" w:hAnsi="標楷體" w:hint="eastAsia"/>
              </w:rPr>
              <w:t>1-1</w:t>
            </w:r>
            <w:r w:rsidR="00204EA7">
              <w:rPr>
                <w:rFonts w:ascii="標楷體" w:eastAsia="標楷體" w:hAnsi="標楷體" w:hint="eastAsia"/>
              </w:rPr>
              <w:t>5</w:t>
            </w:r>
          </w:p>
        </w:tc>
      </w:tr>
    </w:tbl>
    <w:p w:rsidR="00970F84" w:rsidRDefault="002F0CE0">
      <w:pPr>
        <w:ind w:left="641" w:hanging="641"/>
        <w:jc w:val="both"/>
      </w:pPr>
      <w:r>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521</wp:posOffset>
                </wp:positionH>
                <wp:positionV relativeFrom="paragraph">
                  <wp:posOffset>184324</wp:posOffset>
                </wp:positionV>
                <wp:extent cx="5561966" cy="44449"/>
                <wp:effectExtent l="19050" t="19050" r="19684" b="31751"/>
                <wp:wrapNone/>
                <wp:docPr id="3" name="Line 2"/>
                <wp:cNvGraphicFramePr/>
                <a:graphic xmlns:a="http://schemas.openxmlformats.org/drawingml/2006/main">
                  <a:graphicData uri="http://schemas.microsoft.com/office/word/2010/wordprocessingShape">
                    <wps:wsp>
                      <wps:cNvCnPr/>
                      <wps:spPr>
                        <a:xfrm flipV="1">
                          <a:off x="0" y="0"/>
                          <a:ext cx="5561966" cy="44449"/>
                        </a:xfrm>
                        <a:prstGeom prst="straightConnector1">
                          <a:avLst/>
                        </a:prstGeom>
                        <a:noFill/>
                        <a:ln w="28575" cap="flat">
                          <a:solidFill>
                            <a:srgbClr val="000000"/>
                          </a:solidFill>
                          <a:prstDash val="solid"/>
                          <a:round/>
                        </a:ln>
                      </wps:spPr>
                      <wps:bodyPr/>
                    </wps:wsp>
                  </a:graphicData>
                </a:graphic>
              </wp:anchor>
            </w:drawing>
          </mc:Choice>
          <mc:Fallback>
            <w:pict>
              <v:shapetype w14:anchorId="5595D641" id="_x0000_t32" coordsize="21600,21600" o:spt="32" o:oned="t" path="m,l21600,21600e" filled="f">
                <v:path arrowok="t" fillok="f" o:connecttype="none"/>
                <o:lock v:ext="edit" shapetype="t"/>
              </v:shapetype>
              <v:shape id="Line 2" o:spid="_x0000_s1026" type="#_x0000_t32" style="position:absolute;margin-left:.05pt;margin-top:14.5pt;width:437.95pt;height:3.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" strokeweight="2.25pt"/>
            </w:pict>
          </mc:Fallback>
        </mc:AlternateContent>
      </w:r>
    </w:p>
    <w:p w:rsidR="00204EA7" w:rsidRDefault="00D957C2" w:rsidP="00204EA7">
      <w:pPr>
        <w:suppressAutoHyphens w:val="0"/>
        <w:autoSpaceDN/>
        <w:ind w:leftChars="-1" w:left="-2" w:firstLine="2"/>
        <w:jc w:val="center"/>
        <w:textAlignment w:val="auto"/>
        <w:rPr>
          <w:rFonts w:ascii="標楷體" w:eastAsia="標楷體" w:hAnsi="標楷體" w:cstheme="minorBidi"/>
          <w:b/>
          <w:kern w:val="2"/>
          <w:sz w:val="32"/>
          <w:szCs w:val="32"/>
        </w:rPr>
      </w:pPr>
      <w:r>
        <w:rPr>
          <w:rFonts w:ascii="標楷體" w:eastAsia="標楷體" w:hAnsi="標楷體" w:cstheme="minorBidi" w:hint="eastAsia"/>
          <w:b/>
          <w:kern w:val="2"/>
          <w:sz w:val="32"/>
          <w:szCs w:val="32"/>
          <w:lang w:eastAsia="zh-HK"/>
        </w:rPr>
        <w:t>臺灣臺北地方法院</w:t>
      </w:r>
      <w:r w:rsidR="00204EA7" w:rsidRPr="00204EA7">
        <w:rPr>
          <w:rFonts w:ascii="標楷體" w:eastAsia="標楷體" w:hAnsi="標楷體" w:cstheme="minorBidi" w:hint="eastAsia"/>
          <w:b/>
          <w:kern w:val="2"/>
          <w:sz w:val="32"/>
          <w:szCs w:val="32"/>
        </w:rPr>
        <w:t>國民法官模擬法庭專題演練「多數被告、向下扎根、學者轉任法官」專題新聞稿</w:t>
      </w:r>
    </w:p>
    <w:p w:rsidR="00204EA7" w:rsidRPr="00204EA7" w:rsidRDefault="00204EA7" w:rsidP="00204EA7">
      <w:pPr>
        <w:suppressAutoHyphens w:val="0"/>
        <w:autoSpaceDN/>
        <w:ind w:leftChars="-1" w:left="-2" w:firstLine="569"/>
        <w:jc w:val="both"/>
        <w:textAlignment w:val="auto"/>
        <w:rPr>
          <w:rFonts w:ascii="標楷體" w:eastAsia="標楷體" w:hAnsi="標楷體" w:cstheme="minorBidi"/>
          <w:kern w:val="2"/>
          <w:sz w:val="28"/>
          <w:szCs w:val="28"/>
        </w:rPr>
      </w:pPr>
      <w:r w:rsidRPr="00204EA7">
        <w:rPr>
          <w:rFonts w:ascii="標楷體" w:eastAsia="標楷體" w:hAnsi="標楷體" w:cstheme="minorBidi" w:hint="eastAsia"/>
          <w:kern w:val="2"/>
          <w:sz w:val="28"/>
          <w:szCs w:val="28"/>
        </w:rPr>
        <w:t>本院於今日(5月18日)起至5月20日共計三日舉辦第二輪第二場次國民法官模擬法庭及交流座談會。本次模擬依照司法院函示採取特定議題重點式演練，主要演練多數被告在國民法官制度下如何適當妥善有效進行審理。除依照國民法官法規定隨機選出模擬之國民法官進行演練外，為使學者體驗合議庭法官與國民法官共同審判及評議之經驗，內化學者對於轉任法官之了解，進一步達成法官進用多元化的目標，本院特邀請臺北大學法學院顏榕教授、東吳大學法學院黃鼎軒教授、文化大學法學院黃宗旻教授，帶領本次未被選任為國民法官的候選國民法官，全程觀摩審判過程，並進行評議。另為將國民法官制度向下扎根，讓年輕世代的法律學習者能深入了解制度的精神及實際運作，</w:t>
      </w:r>
      <w:proofErr w:type="gramStart"/>
      <w:r w:rsidRPr="00204EA7">
        <w:rPr>
          <w:rFonts w:ascii="標楷體" w:eastAsia="標楷體" w:hAnsi="標楷體" w:cstheme="minorBidi" w:hint="eastAsia"/>
          <w:kern w:val="2"/>
          <w:sz w:val="28"/>
          <w:szCs w:val="28"/>
        </w:rPr>
        <w:t>本次亦邀請</w:t>
      </w:r>
      <w:proofErr w:type="gramEnd"/>
      <w:r w:rsidRPr="00204EA7">
        <w:rPr>
          <w:rFonts w:ascii="標楷體" w:eastAsia="標楷體" w:hAnsi="標楷體" w:cstheme="minorBidi" w:hint="eastAsia"/>
          <w:kern w:val="2"/>
          <w:sz w:val="28"/>
          <w:szCs w:val="28"/>
        </w:rPr>
        <w:t>臺灣大學、</w:t>
      </w:r>
      <w:proofErr w:type="gramStart"/>
      <w:r w:rsidRPr="00204EA7">
        <w:rPr>
          <w:rFonts w:ascii="標楷體" w:eastAsia="標楷體" w:hAnsi="標楷體" w:cstheme="minorBidi" w:hint="eastAsia"/>
          <w:kern w:val="2"/>
          <w:sz w:val="28"/>
          <w:szCs w:val="28"/>
        </w:rPr>
        <w:t>臺</w:t>
      </w:r>
      <w:proofErr w:type="gramEnd"/>
      <w:r w:rsidRPr="00204EA7">
        <w:rPr>
          <w:rFonts w:ascii="標楷體" w:eastAsia="標楷體" w:hAnsi="標楷體" w:cstheme="minorBidi" w:hint="eastAsia"/>
          <w:kern w:val="2"/>
          <w:sz w:val="28"/>
          <w:szCs w:val="28"/>
        </w:rPr>
        <w:t>北大學法學院、東吳大學法學院、文化大學法學院、</w:t>
      </w:r>
      <w:proofErr w:type="gramStart"/>
      <w:r w:rsidRPr="00204EA7">
        <w:rPr>
          <w:rFonts w:ascii="標楷體" w:eastAsia="標楷體" w:hAnsi="標楷體" w:cstheme="minorBidi" w:hint="eastAsia"/>
          <w:kern w:val="2"/>
          <w:sz w:val="28"/>
          <w:szCs w:val="28"/>
        </w:rPr>
        <w:t>世</w:t>
      </w:r>
      <w:proofErr w:type="gramEnd"/>
      <w:r w:rsidRPr="00204EA7">
        <w:rPr>
          <w:rFonts w:ascii="標楷體" w:eastAsia="標楷體" w:hAnsi="標楷體" w:cstheme="minorBidi" w:hint="eastAsia"/>
          <w:kern w:val="2"/>
          <w:sz w:val="28"/>
          <w:szCs w:val="28"/>
        </w:rPr>
        <w:t>新大學法學院推薦法律系學生參與組團，全程觀摩審理程序後自主評議。希望能從各個不同角</w:t>
      </w:r>
      <w:r w:rsidRPr="00204EA7">
        <w:rPr>
          <w:rFonts w:ascii="標楷體" w:eastAsia="標楷體" w:hAnsi="標楷體" w:cstheme="minorBidi" w:hint="eastAsia"/>
          <w:kern w:val="2"/>
          <w:sz w:val="28"/>
          <w:szCs w:val="28"/>
        </w:rPr>
        <w:lastRenderedPageBreak/>
        <w:t>度的成員所做出的判決結果及意見，完善實務的運作。</w:t>
      </w:r>
    </w:p>
    <w:p w:rsidR="00204EA7" w:rsidRPr="00204EA7" w:rsidRDefault="00204EA7" w:rsidP="00204EA7">
      <w:pPr>
        <w:suppressAutoHyphens w:val="0"/>
        <w:autoSpaceDN/>
        <w:ind w:leftChars="-1" w:left="-2" w:firstLine="569"/>
        <w:jc w:val="both"/>
        <w:textAlignment w:val="auto"/>
        <w:rPr>
          <w:rFonts w:ascii="標楷體" w:eastAsia="標楷體" w:hAnsi="標楷體" w:cstheme="minorBidi"/>
          <w:kern w:val="2"/>
          <w:sz w:val="28"/>
          <w:szCs w:val="28"/>
        </w:rPr>
      </w:pPr>
      <w:r w:rsidRPr="00204EA7">
        <w:rPr>
          <w:rFonts w:ascii="標楷體" w:eastAsia="標楷體" w:hAnsi="標楷體" w:cstheme="minorBidi" w:hint="eastAsia"/>
          <w:kern w:val="2"/>
          <w:sz w:val="28"/>
          <w:szCs w:val="28"/>
        </w:rPr>
        <w:t>本次模擬之案例事實為被告2人在</w:t>
      </w:r>
      <w:proofErr w:type="gramStart"/>
      <w:r w:rsidRPr="00204EA7">
        <w:rPr>
          <w:rFonts w:ascii="標楷體" w:eastAsia="標楷體" w:hAnsi="標楷體" w:cstheme="minorBidi" w:hint="eastAsia"/>
          <w:kern w:val="2"/>
          <w:sz w:val="28"/>
          <w:szCs w:val="28"/>
        </w:rPr>
        <w:t>市區內競速</w:t>
      </w:r>
      <w:proofErr w:type="gramEnd"/>
      <w:r w:rsidRPr="00204EA7">
        <w:rPr>
          <w:rFonts w:ascii="標楷體" w:eastAsia="標楷體" w:hAnsi="標楷體" w:cstheme="minorBidi" w:hint="eastAsia"/>
          <w:kern w:val="2"/>
          <w:sz w:val="28"/>
          <w:szCs w:val="28"/>
        </w:rPr>
        <w:t>危險駕駛造成被害人死亡，檢察官以被告涉犯刑法第185條第2項之危險駕駛致人於死罪，向國民法庭提起公訴。本院由林勇如法官擔任審判長，吳明蒼法官擔任受命法官及郭又禎法官擔任陪席法官。</w:t>
      </w:r>
      <w:proofErr w:type="gramStart"/>
      <w:r w:rsidRPr="00204EA7">
        <w:rPr>
          <w:rFonts w:ascii="標楷體" w:eastAsia="標楷體" w:hAnsi="標楷體" w:cstheme="minorBidi" w:hint="eastAsia"/>
          <w:kern w:val="2"/>
          <w:sz w:val="28"/>
          <w:szCs w:val="28"/>
        </w:rPr>
        <w:t>臺</w:t>
      </w:r>
      <w:proofErr w:type="gramEnd"/>
      <w:r w:rsidRPr="00204EA7">
        <w:rPr>
          <w:rFonts w:ascii="標楷體" w:eastAsia="標楷體" w:hAnsi="標楷體" w:cstheme="minorBidi" w:hint="eastAsia"/>
          <w:kern w:val="2"/>
          <w:sz w:val="28"/>
          <w:szCs w:val="28"/>
        </w:rPr>
        <w:t>北地方檢察署推派楊舒雯、黃振城、高光萱等3位檢察官擔任公訴檢察官進行論告，</w:t>
      </w:r>
      <w:proofErr w:type="gramStart"/>
      <w:r w:rsidR="005C466C">
        <w:rPr>
          <w:rFonts w:ascii="標楷體" w:eastAsia="標楷體" w:hAnsi="標楷體" w:cstheme="minorBidi" w:hint="eastAsia"/>
          <w:kern w:val="2"/>
          <w:sz w:val="28"/>
          <w:szCs w:val="28"/>
          <w:lang w:eastAsia="zh-HK"/>
        </w:rPr>
        <w:t>臺</w:t>
      </w:r>
      <w:proofErr w:type="gramEnd"/>
      <w:r w:rsidRPr="00204EA7">
        <w:rPr>
          <w:rFonts w:ascii="標楷體" w:eastAsia="標楷體" w:hAnsi="標楷體" w:cstheme="minorBidi" w:hint="eastAsia"/>
          <w:kern w:val="2"/>
          <w:sz w:val="28"/>
          <w:szCs w:val="28"/>
        </w:rPr>
        <w:t>北律師公會則推派陳一銘、林士勛、張安婷、魯忠軒、許哲維等5位律師擔任辯護人，為被告</w:t>
      </w:r>
      <w:proofErr w:type="gramStart"/>
      <w:r w:rsidRPr="00204EA7">
        <w:rPr>
          <w:rFonts w:ascii="標楷體" w:eastAsia="標楷體" w:hAnsi="標楷體" w:cstheme="minorBidi" w:hint="eastAsia"/>
          <w:kern w:val="2"/>
          <w:sz w:val="28"/>
          <w:szCs w:val="28"/>
        </w:rPr>
        <w:t>進行辦護</w:t>
      </w:r>
      <w:proofErr w:type="gramEnd"/>
      <w:r w:rsidRPr="00204EA7">
        <w:rPr>
          <w:rFonts w:ascii="標楷體" w:eastAsia="標楷體" w:hAnsi="標楷體" w:cstheme="minorBidi" w:hint="eastAsia"/>
          <w:kern w:val="2"/>
          <w:sz w:val="28"/>
          <w:szCs w:val="28"/>
        </w:rPr>
        <w:t>。</w:t>
      </w:r>
    </w:p>
    <w:p w:rsidR="00204EA7" w:rsidRPr="00204EA7" w:rsidRDefault="00204EA7" w:rsidP="00204EA7">
      <w:pPr>
        <w:suppressAutoHyphens w:val="0"/>
        <w:autoSpaceDN/>
        <w:ind w:leftChars="-1" w:left="-2" w:firstLine="569"/>
        <w:jc w:val="both"/>
        <w:textAlignment w:val="auto"/>
        <w:rPr>
          <w:rFonts w:ascii="標楷體" w:eastAsia="標楷體" w:hAnsi="標楷體" w:cstheme="minorBidi"/>
          <w:kern w:val="2"/>
          <w:sz w:val="28"/>
          <w:szCs w:val="28"/>
        </w:rPr>
      </w:pPr>
      <w:r w:rsidRPr="00204EA7">
        <w:rPr>
          <w:rFonts w:ascii="標楷體" w:eastAsia="標楷體" w:hAnsi="標楷體" w:cstheme="minorBidi" w:hint="eastAsia"/>
          <w:kern w:val="2"/>
          <w:sz w:val="28"/>
          <w:szCs w:val="28"/>
        </w:rPr>
        <w:t>模擬法庭活動開始前，本院黃國忠院長首先歡迎各界前來參與本次模擬法庭之來賓，並表示國民法官法庭的模擬，動用相當多的資源，為使模擬達到最佳效益，</w:t>
      </w:r>
      <w:proofErr w:type="gramStart"/>
      <w:r w:rsidRPr="00204EA7">
        <w:rPr>
          <w:rFonts w:ascii="標楷體" w:eastAsia="標楷體" w:hAnsi="標楷體" w:cstheme="minorBidi" w:hint="eastAsia"/>
          <w:kern w:val="2"/>
          <w:sz w:val="28"/>
          <w:szCs w:val="28"/>
        </w:rPr>
        <w:t>本次除正式</w:t>
      </w:r>
      <w:proofErr w:type="gramEnd"/>
      <w:r w:rsidRPr="00204EA7">
        <w:rPr>
          <w:rFonts w:ascii="標楷體" w:eastAsia="標楷體" w:hAnsi="標楷體" w:cstheme="minorBidi" w:hint="eastAsia"/>
          <w:kern w:val="2"/>
          <w:sz w:val="28"/>
          <w:szCs w:val="28"/>
        </w:rPr>
        <w:t>演練之法官及國民法官外，另邀請法律系學者、年輕學子及未入選之候選國民法官等共組成4組影子團，觀看審判全程後各別進行評議，並在座談會中進行交流，以期集思廣益，讓模擬演練從不同視野，擷取更多資訊，發揮最佳效應，為國民法官制度正式上路時做好準備。考選部許舒翔部長則提及</w:t>
      </w:r>
      <w:proofErr w:type="gramStart"/>
      <w:r w:rsidRPr="00204EA7">
        <w:rPr>
          <w:rFonts w:ascii="標楷體" w:eastAsia="標楷體" w:hAnsi="標楷體" w:cstheme="minorBidi" w:hint="eastAsia"/>
          <w:kern w:val="2"/>
          <w:sz w:val="28"/>
          <w:szCs w:val="28"/>
        </w:rPr>
        <w:t>考選部在去年</w:t>
      </w:r>
      <w:proofErr w:type="gramEnd"/>
      <w:r w:rsidRPr="00204EA7">
        <w:rPr>
          <w:rFonts w:ascii="標楷體" w:eastAsia="標楷體" w:hAnsi="標楷體" w:cstheme="minorBidi" w:hint="eastAsia"/>
          <w:kern w:val="2"/>
          <w:sz w:val="28"/>
          <w:szCs w:val="28"/>
        </w:rPr>
        <w:t>與考試院、司法院、法務部擬定法律專業人員資格及任用條例草案送到立法院，希望在法律專業人才的選拔及考試做成變革，未來法律人在通過考試後，再經過一年實務訓練，包含到法院、檢察機關及律師事務所實習，通過後取得律師資格，</w:t>
      </w:r>
      <w:r w:rsidRPr="00204EA7">
        <w:rPr>
          <w:rFonts w:ascii="標楷體" w:eastAsia="標楷體" w:hAnsi="標楷體" w:cstheme="minorBidi" w:hint="eastAsia"/>
          <w:kern w:val="2"/>
          <w:sz w:val="28"/>
          <w:szCs w:val="28"/>
        </w:rPr>
        <w:lastRenderedPageBreak/>
        <w:t>再由司法院選拔法官，法務部選拔檢察官，行政機關選拔法制人員，選拔出的優秀法律專業人才，能更加符合用人機關的需求，有助於未來司法審判的完善度，再配合國民法官制度的運行，更增加司法信任度。教育部學生事務及特殊教育司吳林輝司長則致詞感謝司法院在前進校園的國民法庭活動的推動，迄今已經將近三百多場次活動，專題演講部分已經四百多</w:t>
      </w:r>
      <w:proofErr w:type="gramStart"/>
      <w:r w:rsidRPr="00204EA7">
        <w:rPr>
          <w:rFonts w:ascii="標楷體" w:eastAsia="標楷體" w:hAnsi="標楷體" w:cstheme="minorBidi" w:hint="eastAsia"/>
          <w:kern w:val="2"/>
          <w:sz w:val="28"/>
          <w:szCs w:val="28"/>
        </w:rPr>
        <w:t>個</w:t>
      </w:r>
      <w:proofErr w:type="gramEnd"/>
      <w:r w:rsidRPr="00204EA7">
        <w:rPr>
          <w:rFonts w:ascii="標楷體" w:eastAsia="標楷體" w:hAnsi="標楷體" w:cstheme="minorBidi" w:hint="eastAsia"/>
          <w:kern w:val="2"/>
          <w:sz w:val="28"/>
          <w:szCs w:val="28"/>
        </w:rPr>
        <w:t>場次，有四萬多人次參與，活動透過法官到校園內宣導，並提供道具及劇本，與學校方面配合，由學生擔任國民法官進行模擬，學生的印象都非常深刻，體會到審判與決定都是非常艱鉅的工作，從國民法官與法官間共同完成審判的過程，國民法官可以了解審判工作的艱鉅，法官也可以了解國民法官乃至一般民眾，對於案件可能有不同於法官的關心重點。教育部也有責任在學生走出校園前做好成為國民法官的準備工作，因此，除在公民教育的課程中有對於國民法官制度的介紹，而透過校園模擬的活動，讓老師也進一步就課程中的介紹有更深入的瞭解，達到最佳的教學效果。</w:t>
      </w:r>
      <w:proofErr w:type="gramStart"/>
      <w:r w:rsidRPr="00204EA7">
        <w:rPr>
          <w:rFonts w:ascii="標楷體" w:eastAsia="標楷體" w:hAnsi="標楷體" w:cstheme="minorBidi" w:hint="eastAsia"/>
          <w:kern w:val="2"/>
          <w:sz w:val="28"/>
          <w:szCs w:val="28"/>
        </w:rPr>
        <w:t>臺</w:t>
      </w:r>
      <w:proofErr w:type="gramEnd"/>
      <w:r w:rsidRPr="00204EA7">
        <w:rPr>
          <w:rFonts w:ascii="標楷體" w:eastAsia="標楷體" w:hAnsi="標楷體" w:cstheme="minorBidi" w:hint="eastAsia"/>
          <w:kern w:val="2"/>
          <w:sz w:val="28"/>
          <w:szCs w:val="28"/>
        </w:rPr>
        <w:t>北地方檢察署檢察長林邦樑表示，國民法官新制對於檢察官是全新的挑戰，在公判庭上，檢察官要學習從文字轉為畫面，平面轉為立體的呈現方式，讓只有一</w:t>
      </w:r>
      <w:proofErr w:type="gramStart"/>
      <w:r w:rsidRPr="00204EA7">
        <w:rPr>
          <w:rFonts w:ascii="標楷體" w:eastAsia="標楷體" w:hAnsi="標楷體" w:cstheme="minorBidi" w:hint="eastAsia"/>
          <w:kern w:val="2"/>
          <w:sz w:val="28"/>
          <w:szCs w:val="28"/>
        </w:rPr>
        <w:t>紙起訴狀</w:t>
      </w:r>
      <w:proofErr w:type="gramEnd"/>
      <w:r w:rsidRPr="00204EA7">
        <w:rPr>
          <w:rFonts w:ascii="標楷體" w:eastAsia="標楷體" w:hAnsi="標楷體" w:cstheme="minorBidi" w:hint="eastAsia"/>
          <w:kern w:val="2"/>
          <w:sz w:val="28"/>
          <w:szCs w:val="28"/>
        </w:rPr>
        <w:t>的國民法官，能透過審判程序建構出犯罪事實的原貌，感謝本院舉辦多次的擬真模擬法庭，讓檢察官有實戰經驗。台北律師公會理事長范瑞華律師</w:t>
      </w:r>
      <w:r w:rsidRPr="00204EA7">
        <w:rPr>
          <w:rFonts w:ascii="標楷體" w:eastAsia="標楷體" w:hAnsi="標楷體" w:cstheme="minorBidi" w:hint="eastAsia"/>
          <w:kern w:val="2"/>
          <w:sz w:val="28"/>
          <w:szCs w:val="28"/>
        </w:rPr>
        <w:lastRenderedPageBreak/>
        <w:t>致詞表示，目前</w:t>
      </w:r>
      <w:proofErr w:type="gramStart"/>
      <w:r w:rsidR="005C466C">
        <w:rPr>
          <w:rFonts w:ascii="標楷體" w:eastAsia="標楷體" w:hAnsi="標楷體" w:cstheme="minorBidi" w:hint="eastAsia"/>
          <w:kern w:val="2"/>
          <w:sz w:val="28"/>
          <w:szCs w:val="28"/>
          <w:lang w:eastAsia="zh-HK"/>
        </w:rPr>
        <w:t>臺</w:t>
      </w:r>
      <w:proofErr w:type="gramEnd"/>
      <w:r w:rsidRPr="00204EA7">
        <w:rPr>
          <w:rFonts w:ascii="標楷體" w:eastAsia="標楷體" w:hAnsi="標楷體" w:cstheme="minorBidi" w:hint="eastAsia"/>
          <w:kern w:val="2"/>
          <w:sz w:val="28"/>
          <w:szCs w:val="28"/>
        </w:rPr>
        <w:t>北律師公會約有8千位會員，如果要達到百分之一的律師具備能力投入國民法庭的辯護工作，就必須有80人次以上參加模擬法庭，目前尚未達標，公會也希望盡可能呼籲更多律師參與擬真模擬法庭。政治大學法學院許政賢院長表示，認定事實與量刑是非常困難的工作，透過國民法庭讓國民參與審判，除引進國民法官不同角度的意見，也會促進國民對審判實務及法官工作的了解，增加司法的透明度及信任度。</w:t>
      </w:r>
      <w:proofErr w:type="gramStart"/>
      <w:r w:rsidR="005C466C">
        <w:rPr>
          <w:rFonts w:ascii="標楷體" w:eastAsia="標楷體" w:hAnsi="標楷體" w:cstheme="minorBidi" w:hint="eastAsia"/>
          <w:kern w:val="2"/>
          <w:sz w:val="28"/>
          <w:szCs w:val="28"/>
          <w:lang w:eastAsia="zh-HK"/>
        </w:rPr>
        <w:t>臺</w:t>
      </w:r>
      <w:proofErr w:type="gramEnd"/>
      <w:r w:rsidRPr="00204EA7">
        <w:rPr>
          <w:rFonts w:ascii="標楷體" w:eastAsia="標楷體" w:hAnsi="標楷體" w:cstheme="minorBidi" w:hint="eastAsia"/>
          <w:kern w:val="2"/>
          <w:sz w:val="28"/>
          <w:szCs w:val="28"/>
        </w:rPr>
        <w:t>北大學法學院杜怡靜院長表示，因為參與法官評鑑的工作，了解法官工作的辛苦，但法官卻飽受敗訴當事人指摘不公平的申訴評鑑，藉著國民法官制度可以讓社會大眾了解法院的判決，增加信賴度，減少對法官不必要的申訴評鑑。東吳大學法學院莊永</w:t>
      </w:r>
      <w:r w:rsidR="00DC06F5">
        <w:rPr>
          <w:rFonts w:ascii="標楷體" w:eastAsia="標楷體" w:hAnsi="標楷體" w:cstheme="minorBidi" w:hint="eastAsia"/>
          <w:kern w:val="2"/>
          <w:sz w:val="28"/>
          <w:szCs w:val="28"/>
          <w:lang w:eastAsia="zh-HK"/>
        </w:rPr>
        <w:t>丞</w:t>
      </w:r>
      <w:r w:rsidRPr="00204EA7">
        <w:rPr>
          <w:rFonts w:ascii="標楷體" w:eastAsia="標楷體" w:hAnsi="標楷體" w:cstheme="minorBidi" w:hint="eastAsia"/>
          <w:kern w:val="2"/>
          <w:sz w:val="28"/>
          <w:szCs w:val="28"/>
        </w:rPr>
        <w:t>副院長則表示，法律系老師及學生藉由參與本次模擬法庭，讓老師在教學上及學生在未來選擇職業的路上有更進一步的認識。文化大學王志誠院長表示：國民法官制度讓國民參與接近司法重大案件，讓國民更了解審</w:t>
      </w:r>
      <w:proofErr w:type="gramStart"/>
      <w:r w:rsidRPr="00204EA7">
        <w:rPr>
          <w:rFonts w:ascii="標楷體" w:eastAsia="標楷體" w:hAnsi="標楷體" w:cstheme="minorBidi" w:hint="eastAsia"/>
          <w:kern w:val="2"/>
          <w:sz w:val="28"/>
          <w:szCs w:val="28"/>
        </w:rPr>
        <w:t>檢辯在工作</w:t>
      </w:r>
      <w:proofErr w:type="gramEnd"/>
      <w:r w:rsidRPr="00204EA7">
        <w:rPr>
          <w:rFonts w:ascii="標楷體" w:eastAsia="標楷體" w:hAnsi="標楷體" w:cstheme="minorBidi" w:hint="eastAsia"/>
          <w:kern w:val="2"/>
          <w:sz w:val="28"/>
          <w:szCs w:val="28"/>
        </w:rPr>
        <w:t>上投入的心力，以及結論作成的艱辛，相信藉由國民法官制度讓人民更信賴司法也讓司法更為進步。</w:t>
      </w:r>
      <w:proofErr w:type="gramStart"/>
      <w:r w:rsidRPr="00204EA7">
        <w:rPr>
          <w:rFonts w:ascii="標楷體" w:eastAsia="標楷體" w:hAnsi="標楷體" w:cstheme="minorBidi" w:hint="eastAsia"/>
          <w:kern w:val="2"/>
          <w:sz w:val="28"/>
          <w:szCs w:val="28"/>
        </w:rPr>
        <w:t>世</w:t>
      </w:r>
      <w:proofErr w:type="gramEnd"/>
      <w:r w:rsidRPr="00204EA7">
        <w:rPr>
          <w:rFonts w:ascii="標楷體" w:eastAsia="標楷體" w:hAnsi="標楷體" w:cstheme="minorBidi" w:hint="eastAsia"/>
          <w:kern w:val="2"/>
          <w:sz w:val="28"/>
          <w:szCs w:val="28"/>
        </w:rPr>
        <w:t>新大學林</w:t>
      </w:r>
      <w:proofErr w:type="gramStart"/>
      <w:r w:rsidRPr="00204EA7">
        <w:rPr>
          <w:rFonts w:ascii="標楷體" w:eastAsia="標楷體" w:hAnsi="標楷體" w:cstheme="minorBidi" w:hint="eastAsia"/>
          <w:kern w:val="2"/>
          <w:sz w:val="28"/>
          <w:szCs w:val="28"/>
        </w:rPr>
        <w:t>恒</w:t>
      </w:r>
      <w:proofErr w:type="gramEnd"/>
      <w:r w:rsidRPr="00204EA7">
        <w:rPr>
          <w:rFonts w:ascii="標楷體" w:eastAsia="標楷體" w:hAnsi="標楷體" w:cstheme="minorBidi" w:hint="eastAsia"/>
          <w:kern w:val="2"/>
          <w:sz w:val="28"/>
          <w:szCs w:val="28"/>
        </w:rPr>
        <w:t>志院長表示，</w:t>
      </w:r>
      <w:proofErr w:type="gramStart"/>
      <w:r w:rsidRPr="00204EA7">
        <w:rPr>
          <w:rFonts w:ascii="標楷體" w:eastAsia="標楷體" w:hAnsi="標楷體" w:cstheme="minorBidi" w:hint="eastAsia"/>
          <w:kern w:val="2"/>
          <w:sz w:val="28"/>
          <w:szCs w:val="28"/>
        </w:rPr>
        <w:t>世</w:t>
      </w:r>
      <w:proofErr w:type="gramEnd"/>
      <w:r w:rsidRPr="00204EA7">
        <w:rPr>
          <w:rFonts w:ascii="標楷體" w:eastAsia="標楷體" w:hAnsi="標楷體" w:cstheme="minorBidi" w:hint="eastAsia"/>
          <w:kern w:val="2"/>
          <w:sz w:val="28"/>
          <w:szCs w:val="28"/>
        </w:rPr>
        <w:t>新大學受司法院委託進行律師對司法信賴度調查，106年的調查結果是62.5%，110年則提高到82.9%，可見專業律師對於司法信賴度是有高的評價，一般民眾對司法活動不了解，國民法官制度是可以促進國民對於司法活動</w:t>
      </w:r>
      <w:r w:rsidRPr="00204EA7">
        <w:rPr>
          <w:rFonts w:ascii="標楷體" w:eastAsia="標楷體" w:hAnsi="標楷體" w:cstheme="minorBidi" w:hint="eastAsia"/>
          <w:kern w:val="2"/>
          <w:sz w:val="28"/>
          <w:szCs w:val="28"/>
        </w:rPr>
        <w:lastRenderedPageBreak/>
        <w:t>的了解，增加司法信賴度。</w:t>
      </w:r>
    </w:p>
    <w:p w:rsidR="00B7600A" w:rsidRPr="00AF3F13" w:rsidRDefault="00204EA7" w:rsidP="00204EA7">
      <w:pPr>
        <w:suppressAutoHyphens w:val="0"/>
        <w:autoSpaceDN/>
        <w:ind w:leftChars="-1" w:left="-2" w:firstLine="569"/>
        <w:jc w:val="both"/>
        <w:textAlignment w:val="auto"/>
        <w:rPr>
          <w:rFonts w:ascii="標楷體" w:eastAsia="標楷體" w:hAnsi="標楷體" w:cstheme="minorBidi"/>
          <w:kern w:val="2"/>
          <w:sz w:val="28"/>
          <w:szCs w:val="28"/>
        </w:rPr>
      </w:pPr>
      <w:r w:rsidRPr="00204EA7">
        <w:rPr>
          <w:rFonts w:ascii="標楷體" w:eastAsia="標楷體" w:hAnsi="標楷體" w:cstheme="minorBidi" w:hint="eastAsia"/>
          <w:kern w:val="2"/>
          <w:sz w:val="28"/>
          <w:szCs w:val="28"/>
        </w:rPr>
        <w:t>模擬法庭活動於本日9時30分開始進行國民法官選任、宣誓、審判長的審前說明後，隨即展開審理及評議，審判程序將進行二日至明日(19)下午5時30分進行宣判後結束。第三日(</w:t>
      </w:r>
      <w:r w:rsidR="00DE2D34">
        <w:rPr>
          <w:rFonts w:ascii="標楷體" w:eastAsia="標楷體" w:hAnsi="標楷體" w:cstheme="minorBidi"/>
          <w:kern w:val="2"/>
          <w:sz w:val="28"/>
          <w:szCs w:val="28"/>
        </w:rPr>
        <w:t>20</w:t>
      </w:r>
      <w:bookmarkStart w:id="0" w:name="_GoBack"/>
      <w:bookmarkEnd w:id="0"/>
      <w:r w:rsidRPr="00204EA7">
        <w:rPr>
          <w:rFonts w:ascii="標楷體" w:eastAsia="標楷體" w:hAnsi="標楷體" w:cstheme="minorBidi" w:hint="eastAsia"/>
          <w:kern w:val="2"/>
          <w:sz w:val="28"/>
          <w:szCs w:val="28"/>
        </w:rPr>
        <w:t>)舉行由黃國忠院長主持之交流座談會，針對本次演練相關問題，與國民法官、審檢辯及各界來賓進行深度的意見交流及檢討，所得結論，本院將在各次的模擬演練中實踐，以期待在112年1月1日新制上路時，能運作順暢，讓國民法官制度發揮提高司法信任度的功能。</w:t>
      </w:r>
    </w:p>
    <w:sectPr w:rsidR="00B7600A" w:rsidRPr="00AF3F13">
      <w:headerReference w:type="default" r:id="rId9"/>
      <w:footerReference w:type="default" r:id="rId10"/>
      <w:pgSz w:w="11906" w:h="16838"/>
      <w:pgMar w:top="1134" w:right="1701" w:bottom="1440" w:left="1843" w:header="851" w:footer="992" w:gutter="0"/>
      <w:cols w:space="720"/>
      <w:docGrid w:type="lines" w:linePitch="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CE6" w:rsidRDefault="00942CE6">
      <w:r>
        <w:separator/>
      </w:r>
    </w:p>
  </w:endnote>
  <w:endnote w:type="continuationSeparator" w:id="0">
    <w:p w:rsidR="00942CE6" w:rsidRDefault="0094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557028"/>
      <w:docPartObj>
        <w:docPartGallery w:val="Page Numbers (Bottom of Page)"/>
        <w:docPartUnique/>
      </w:docPartObj>
    </w:sdtPr>
    <w:sdtEndPr/>
    <w:sdtContent>
      <w:p w:rsidR="00DE2D6C" w:rsidRDefault="00DE2D6C">
        <w:pPr>
          <w:pStyle w:val="a3"/>
          <w:jc w:val="center"/>
        </w:pPr>
        <w:r>
          <w:fldChar w:fldCharType="begin"/>
        </w:r>
        <w:r>
          <w:instrText>PAGE   \* MERGEFORMAT</w:instrText>
        </w:r>
        <w:r>
          <w:fldChar w:fldCharType="separate"/>
        </w:r>
        <w:r w:rsidR="00DE2D34" w:rsidRPr="00DE2D34">
          <w:rPr>
            <w:noProof/>
            <w:lang w:val="zh-TW"/>
          </w:rPr>
          <w:t>5</w:t>
        </w:r>
        <w:r>
          <w:fldChar w:fldCharType="end"/>
        </w:r>
      </w:p>
    </w:sdtContent>
  </w:sdt>
  <w:p w:rsidR="008E4CFB" w:rsidRDefault="00942CE6">
    <w:pPr>
      <w:pStyle w:val="a3"/>
      <w:ind w:left="400" w:hanging="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CE6" w:rsidRDefault="00942CE6">
      <w:r>
        <w:rPr>
          <w:color w:val="000000"/>
        </w:rPr>
        <w:separator/>
      </w:r>
    </w:p>
  </w:footnote>
  <w:footnote w:type="continuationSeparator" w:id="0">
    <w:p w:rsidR="00942CE6" w:rsidRDefault="00942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FB" w:rsidRDefault="00942CE6">
    <w:pPr>
      <w:pStyle w:val="a6"/>
      <w:ind w:left="400" w:hanging="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36264"/>
    <w:multiLevelType w:val="hybridMultilevel"/>
    <w:tmpl w:val="3B187C1E"/>
    <w:lvl w:ilvl="0" w:tplc="D988F310">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700AF7"/>
    <w:multiLevelType w:val="hybridMultilevel"/>
    <w:tmpl w:val="BA6C6E0C"/>
    <w:lvl w:ilvl="0" w:tplc="BEB241AC">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BE4342B"/>
    <w:multiLevelType w:val="hybridMultilevel"/>
    <w:tmpl w:val="A01E4C56"/>
    <w:lvl w:ilvl="0" w:tplc="6BCA8444">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D2C63A6"/>
    <w:multiLevelType w:val="multilevel"/>
    <w:tmpl w:val="2382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84"/>
    <w:rsid w:val="00016F88"/>
    <w:rsid w:val="000236AE"/>
    <w:rsid w:val="00034C2A"/>
    <w:rsid w:val="00055C1E"/>
    <w:rsid w:val="00065E4A"/>
    <w:rsid w:val="0007425F"/>
    <w:rsid w:val="000779F5"/>
    <w:rsid w:val="00091ED2"/>
    <w:rsid w:val="00093A0A"/>
    <w:rsid w:val="000A678D"/>
    <w:rsid w:val="000B3EE2"/>
    <w:rsid w:val="000D5974"/>
    <w:rsid w:val="001066C5"/>
    <w:rsid w:val="001075C5"/>
    <w:rsid w:val="001078FC"/>
    <w:rsid w:val="00113752"/>
    <w:rsid w:val="00122F78"/>
    <w:rsid w:val="00127847"/>
    <w:rsid w:val="00147F6C"/>
    <w:rsid w:val="00150340"/>
    <w:rsid w:val="00153EDD"/>
    <w:rsid w:val="0015605E"/>
    <w:rsid w:val="001816D4"/>
    <w:rsid w:val="00192ACD"/>
    <w:rsid w:val="001958D8"/>
    <w:rsid w:val="001B723C"/>
    <w:rsid w:val="001C0124"/>
    <w:rsid w:val="001C351F"/>
    <w:rsid w:val="001D075E"/>
    <w:rsid w:val="001D76BB"/>
    <w:rsid w:val="001E6F75"/>
    <w:rsid w:val="001F64C2"/>
    <w:rsid w:val="00203263"/>
    <w:rsid w:val="00204EA7"/>
    <w:rsid w:val="0021573C"/>
    <w:rsid w:val="002164C2"/>
    <w:rsid w:val="002171EF"/>
    <w:rsid w:val="00221BDE"/>
    <w:rsid w:val="00233F7E"/>
    <w:rsid w:val="00250048"/>
    <w:rsid w:val="00251294"/>
    <w:rsid w:val="00255356"/>
    <w:rsid w:val="00257BCC"/>
    <w:rsid w:val="00281C4B"/>
    <w:rsid w:val="002A6C7F"/>
    <w:rsid w:val="002E0729"/>
    <w:rsid w:val="002E53A3"/>
    <w:rsid w:val="002F0CE0"/>
    <w:rsid w:val="002F366B"/>
    <w:rsid w:val="00324C45"/>
    <w:rsid w:val="0033251F"/>
    <w:rsid w:val="0034015D"/>
    <w:rsid w:val="00341C48"/>
    <w:rsid w:val="0034313D"/>
    <w:rsid w:val="00347701"/>
    <w:rsid w:val="003552E8"/>
    <w:rsid w:val="003571E6"/>
    <w:rsid w:val="003632CB"/>
    <w:rsid w:val="0037177D"/>
    <w:rsid w:val="00375085"/>
    <w:rsid w:val="003874A5"/>
    <w:rsid w:val="003A0E22"/>
    <w:rsid w:val="003A12EF"/>
    <w:rsid w:val="003A3988"/>
    <w:rsid w:val="003A40C7"/>
    <w:rsid w:val="003A75BE"/>
    <w:rsid w:val="003B0BA2"/>
    <w:rsid w:val="003B7A22"/>
    <w:rsid w:val="003E2CFB"/>
    <w:rsid w:val="003E7C9B"/>
    <w:rsid w:val="00406D2D"/>
    <w:rsid w:val="00412BF7"/>
    <w:rsid w:val="0042694D"/>
    <w:rsid w:val="004643A3"/>
    <w:rsid w:val="00464B79"/>
    <w:rsid w:val="00481329"/>
    <w:rsid w:val="00484FC9"/>
    <w:rsid w:val="0049578B"/>
    <w:rsid w:val="004A7719"/>
    <w:rsid w:val="004D067A"/>
    <w:rsid w:val="004D515C"/>
    <w:rsid w:val="004E1763"/>
    <w:rsid w:val="004E5EE0"/>
    <w:rsid w:val="004E7A9E"/>
    <w:rsid w:val="004F4CE5"/>
    <w:rsid w:val="004F5F42"/>
    <w:rsid w:val="004F65D6"/>
    <w:rsid w:val="00504B9F"/>
    <w:rsid w:val="00506E3D"/>
    <w:rsid w:val="005078BE"/>
    <w:rsid w:val="00525C6C"/>
    <w:rsid w:val="00527747"/>
    <w:rsid w:val="00527C80"/>
    <w:rsid w:val="00532F83"/>
    <w:rsid w:val="00541386"/>
    <w:rsid w:val="00547D8A"/>
    <w:rsid w:val="005642CA"/>
    <w:rsid w:val="005850EC"/>
    <w:rsid w:val="005B1873"/>
    <w:rsid w:val="005C20D7"/>
    <w:rsid w:val="005C466C"/>
    <w:rsid w:val="005E460A"/>
    <w:rsid w:val="0060146F"/>
    <w:rsid w:val="006048E2"/>
    <w:rsid w:val="00607CF2"/>
    <w:rsid w:val="00625E44"/>
    <w:rsid w:val="00626950"/>
    <w:rsid w:val="00626ADD"/>
    <w:rsid w:val="00642C71"/>
    <w:rsid w:val="00647753"/>
    <w:rsid w:val="00652D05"/>
    <w:rsid w:val="00664AC6"/>
    <w:rsid w:val="00685747"/>
    <w:rsid w:val="00690153"/>
    <w:rsid w:val="00697D9C"/>
    <w:rsid w:val="006B1050"/>
    <w:rsid w:val="006B2449"/>
    <w:rsid w:val="006C3FCE"/>
    <w:rsid w:val="006C42CA"/>
    <w:rsid w:val="006C7D82"/>
    <w:rsid w:val="006E57FF"/>
    <w:rsid w:val="00706B87"/>
    <w:rsid w:val="007122E7"/>
    <w:rsid w:val="00713B73"/>
    <w:rsid w:val="007260FE"/>
    <w:rsid w:val="007457F9"/>
    <w:rsid w:val="007757CD"/>
    <w:rsid w:val="00781F66"/>
    <w:rsid w:val="00784266"/>
    <w:rsid w:val="00790E58"/>
    <w:rsid w:val="007946D8"/>
    <w:rsid w:val="007A25E0"/>
    <w:rsid w:val="007A6930"/>
    <w:rsid w:val="007B0982"/>
    <w:rsid w:val="007E1D1A"/>
    <w:rsid w:val="007E4B0E"/>
    <w:rsid w:val="008016C2"/>
    <w:rsid w:val="00807702"/>
    <w:rsid w:val="008363E4"/>
    <w:rsid w:val="00836873"/>
    <w:rsid w:val="008421A0"/>
    <w:rsid w:val="0085729B"/>
    <w:rsid w:val="00863C59"/>
    <w:rsid w:val="00867500"/>
    <w:rsid w:val="008764C8"/>
    <w:rsid w:val="008900C3"/>
    <w:rsid w:val="008B378C"/>
    <w:rsid w:val="008C1EAB"/>
    <w:rsid w:val="008C4279"/>
    <w:rsid w:val="008F6C87"/>
    <w:rsid w:val="008F6E0D"/>
    <w:rsid w:val="0091112B"/>
    <w:rsid w:val="00917C05"/>
    <w:rsid w:val="0093102C"/>
    <w:rsid w:val="00936A97"/>
    <w:rsid w:val="00942CE6"/>
    <w:rsid w:val="009435DB"/>
    <w:rsid w:val="00970F84"/>
    <w:rsid w:val="00975FCE"/>
    <w:rsid w:val="009901B7"/>
    <w:rsid w:val="00992751"/>
    <w:rsid w:val="009927FD"/>
    <w:rsid w:val="00995B09"/>
    <w:rsid w:val="009A1E38"/>
    <w:rsid w:val="009A3985"/>
    <w:rsid w:val="009A4A8B"/>
    <w:rsid w:val="009A68AC"/>
    <w:rsid w:val="009B13D4"/>
    <w:rsid w:val="009C1993"/>
    <w:rsid w:val="009C1FBF"/>
    <w:rsid w:val="009C3751"/>
    <w:rsid w:val="009C5A48"/>
    <w:rsid w:val="009C67B3"/>
    <w:rsid w:val="009E792E"/>
    <w:rsid w:val="009F5C4D"/>
    <w:rsid w:val="009F62AD"/>
    <w:rsid w:val="00A05E97"/>
    <w:rsid w:val="00A15E96"/>
    <w:rsid w:val="00A22AD5"/>
    <w:rsid w:val="00A345B3"/>
    <w:rsid w:val="00A35EFE"/>
    <w:rsid w:val="00A37D4F"/>
    <w:rsid w:val="00A67F27"/>
    <w:rsid w:val="00A86332"/>
    <w:rsid w:val="00A87C30"/>
    <w:rsid w:val="00A902CD"/>
    <w:rsid w:val="00A936D2"/>
    <w:rsid w:val="00A967E1"/>
    <w:rsid w:val="00AA218A"/>
    <w:rsid w:val="00AA73AC"/>
    <w:rsid w:val="00AD44DC"/>
    <w:rsid w:val="00AF0B19"/>
    <w:rsid w:val="00AF37A2"/>
    <w:rsid w:val="00AF3F13"/>
    <w:rsid w:val="00B04FE7"/>
    <w:rsid w:val="00B05DDA"/>
    <w:rsid w:val="00B149E7"/>
    <w:rsid w:val="00B31374"/>
    <w:rsid w:val="00B46014"/>
    <w:rsid w:val="00B6054C"/>
    <w:rsid w:val="00B61D3A"/>
    <w:rsid w:val="00B7600A"/>
    <w:rsid w:val="00BC63B0"/>
    <w:rsid w:val="00BD0C49"/>
    <w:rsid w:val="00C04603"/>
    <w:rsid w:val="00C15CE7"/>
    <w:rsid w:val="00C15DB2"/>
    <w:rsid w:val="00C364C8"/>
    <w:rsid w:val="00C4289B"/>
    <w:rsid w:val="00C432B5"/>
    <w:rsid w:val="00C46D46"/>
    <w:rsid w:val="00C511CE"/>
    <w:rsid w:val="00C61B96"/>
    <w:rsid w:val="00C639BD"/>
    <w:rsid w:val="00C6735E"/>
    <w:rsid w:val="00C74065"/>
    <w:rsid w:val="00C75AB3"/>
    <w:rsid w:val="00CA31B6"/>
    <w:rsid w:val="00CA52E4"/>
    <w:rsid w:val="00CB0114"/>
    <w:rsid w:val="00CC6D8A"/>
    <w:rsid w:val="00CD3D0D"/>
    <w:rsid w:val="00CD5C30"/>
    <w:rsid w:val="00CF477A"/>
    <w:rsid w:val="00D04215"/>
    <w:rsid w:val="00D131D4"/>
    <w:rsid w:val="00D32258"/>
    <w:rsid w:val="00D46629"/>
    <w:rsid w:val="00D510F5"/>
    <w:rsid w:val="00D671ED"/>
    <w:rsid w:val="00D702A3"/>
    <w:rsid w:val="00D755E9"/>
    <w:rsid w:val="00D76579"/>
    <w:rsid w:val="00D864F4"/>
    <w:rsid w:val="00D957C2"/>
    <w:rsid w:val="00DA30DC"/>
    <w:rsid w:val="00DC065B"/>
    <w:rsid w:val="00DC06F5"/>
    <w:rsid w:val="00DC1D54"/>
    <w:rsid w:val="00DC353E"/>
    <w:rsid w:val="00DC5FD3"/>
    <w:rsid w:val="00DD7A3A"/>
    <w:rsid w:val="00DE0F9F"/>
    <w:rsid w:val="00DE181D"/>
    <w:rsid w:val="00DE2D34"/>
    <w:rsid w:val="00DE2D6C"/>
    <w:rsid w:val="00DE3220"/>
    <w:rsid w:val="00E01A94"/>
    <w:rsid w:val="00E03578"/>
    <w:rsid w:val="00E06F58"/>
    <w:rsid w:val="00E10FF2"/>
    <w:rsid w:val="00E1494F"/>
    <w:rsid w:val="00E447D1"/>
    <w:rsid w:val="00E462AD"/>
    <w:rsid w:val="00E56079"/>
    <w:rsid w:val="00E657E1"/>
    <w:rsid w:val="00E65950"/>
    <w:rsid w:val="00E667AF"/>
    <w:rsid w:val="00E92F03"/>
    <w:rsid w:val="00EA358F"/>
    <w:rsid w:val="00ED04B4"/>
    <w:rsid w:val="00EE49EE"/>
    <w:rsid w:val="00EE6BCA"/>
    <w:rsid w:val="00F149DC"/>
    <w:rsid w:val="00F14D7B"/>
    <w:rsid w:val="00F16E15"/>
    <w:rsid w:val="00F32EBE"/>
    <w:rsid w:val="00F5715A"/>
    <w:rsid w:val="00FA29CD"/>
    <w:rsid w:val="00FA3ADC"/>
    <w:rsid w:val="00FE1B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DD3DA"/>
  <w15:docId w15:val="{7AF0761B-95BB-4413-9CC9-41D119EF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widowControl/>
      <w:tabs>
        <w:tab w:val="center" w:pos="4153"/>
        <w:tab w:val="right" w:pos="8306"/>
      </w:tabs>
      <w:snapToGrid w:val="0"/>
      <w:spacing w:line="360" w:lineRule="auto"/>
      <w:ind w:left="200" w:hanging="200"/>
    </w:pPr>
    <w:rPr>
      <w:rFonts w:ascii="Times New Roman" w:hAnsi="Times New Roman"/>
      <w:sz w:val="20"/>
      <w:szCs w:val="20"/>
    </w:rPr>
  </w:style>
  <w:style w:type="character" w:customStyle="1" w:styleId="a4">
    <w:name w:val="頁尾 字元"/>
    <w:basedOn w:val="a0"/>
    <w:uiPriority w:val="99"/>
    <w:rPr>
      <w:rFonts w:ascii="Times New Roman" w:eastAsia="新細明體" w:hAnsi="Times New Roman" w:cs="Times New Roman"/>
      <w:kern w:val="3"/>
      <w:sz w:val="20"/>
      <w:szCs w:val="20"/>
    </w:rPr>
  </w:style>
  <w:style w:type="character" w:styleId="a5">
    <w:name w:val="page number"/>
    <w:basedOn w:val="a0"/>
  </w:style>
  <w:style w:type="paragraph" w:styleId="a6">
    <w:name w:val="header"/>
    <w:basedOn w:val="a"/>
    <w:pPr>
      <w:widowControl/>
      <w:tabs>
        <w:tab w:val="center" w:pos="4153"/>
        <w:tab w:val="right" w:pos="8306"/>
      </w:tabs>
      <w:snapToGrid w:val="0"/>
      <w:spacing w:line="360" w:lineRule="auto"/>
      <w:ind w:left="200" w:hanging="200"/>
    </w:pPr>
    <w:rPr>
      <w:rFonts w:ascii="Times New Roman" w:hAnsi="Times New Roman"/>
      <w:sz w:val="20"/>
      <w:szCs w:val="20"/>
    </w:rPr>
  </w:style>
  <w:style w:type="character" w:customStyle="1" w:styleId="a7">
    <w:name w:val="頁首 字元"/>
    <w:basedOn w:val="a0"/>
    <w:rPr>
      <w:rFonts w:ascii="Times New Roman" w:eastAsia="新細明體" w:hAnsi="Times New Roman" w:cs="Times New Roman"/>
      <w:kern w:val="3"/>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character" w:styleId="aa">
    <w:name w:val="Hyperlink"/>
    <w:basedOn w:val="a0"/>
    <w:uiPriority w:val="99"/>
    <w:unhideWhenUsed/>
    <w:rsid w:val="005078BE"/>
    <w:rPr>
      <w:color w:val="0563C1" w:themeColor="hyperlink"/>
      <w:u w:val="single"/>
    </w:rPr>
  </w:style>
  <w:style w:type="paragraph" w:styleId="ab">
    <w:name w:val="List Paragraph"/>
    <w:basedOn w:val="a"/>
    <w:uiPriority w:val="34"/>
    <w:qFormat/>
    <w:rsid w:val="005078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426095">
      <w:bodyDiv w:val="1"/>
      <w:marLeft w:val="0"/>
      <w:marRight w:val="0"/>
      <w:marTop w:val="0"/>
      <w:marBottom w:val="0"/>
      <w:divBdr>
        <w:top w:val="none" w:sz="0" w:space="0" w:color="auto"/>
        <w:left w:val="none" w:sz="0" w:space="0" w:color="auto"/>
        <w:bottom w:val="none" w:sz="0" w:space="0" w:color="auto"/>
        <w:right w:val="none" w:sz="0" w:space="0" w:color="auto"/>
      </w:divBdr>
      <w:divsChild>
        <w:div w:id="838034262">
          <w:marLeft w:val="0"/>
          <w:marRight w:val="0"/>
          <w:marTop w:val="0"/>
          <w:marBottom w:val="0"/>
          <w:divBdr>
            <w:top w:val="none" w:sz="0" w:space="0" w:color="auto"/>
            <w:left w:val="none" w:sz="0" w:space="0" w:color="auto"/>
            <w:bottom w:val="none" w:sz="0" w:space="0" w:color="auto"/>
            <w:right w:val="none" w:sz="0" w:space="0" w:color="auto"/>
          </w:divBdr>
        </w:div>
        <w:div w:id="21133535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0CC5-3436-4CBB-ADB7-D982FEFE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tpduser</dc:creator>
  <dc:description/>
  <cp:lastModifiedBy>tpduser</cp:lastModifiedBy>
  <cp:revision>7</cp:revision>
  <cp:lastPrinted>2022-05-18T07:38:00Z</cp:lastPrinted>
  <dcterms:created xsi:type="dcterms:W3CDTF">2022-05-18T07:38:00Z</dcterms:created>
  <dcterms:modified xsi:type="dcterms:W3CDTF">2022-05-19T07:47:00Z</dcterms:modified>
</cp:coreProperties>
</file>