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10" w:type="dxa"/>
          <w:right w:w="10" w:type="dxa"/>
        </w:tblCellMar>
        <w:tblLook w:val="0000" w:firstRow="0" w:lastRow="0" w:firstColumn="0" w:lastColumn="0" w:noHBand="0" w:noVBand="0"/>
      </w:tblPr>
      <w:tblGrid>
        <w:gridCol w:w="2279"/>
        <w:gridCol w:w="6923"/>
      </w:tblGrid>
      <w:tr w:rsidR="00A74B51">
        <w:trPr>
          <w:trHeight w:val="1971"/>
        </w:trPr>
        <w:tc>
          <w:tcPr>
            <w:tcW w:w="2279" w:type="dxa"/>
            <w:shd w:val="clear" w:color="auto" w:fill="auto"/>
            <w:tcMar>
              <w:top w:w="0" w:type="dxa"/>
              <w:left w:w="28" w:type="dxa"/>
              <w:bottom w:w="0" w:type="dxa"/>
              <w:right w:w="28" w:type="dxa"/>
            </w:tcMar>
            <w:vAlign w:val="center"/>
          </w:tcPr>
          <w:p w:rsidR="00A74B51" w:rsidRDefault="00000C88">
            <w:pPr>
              <w:ind w:left="480" w:hanging="480"/>
              <w:jc w:val="both"/>
            </w:pPr>
            <w:r>
              <w:rPr>
                <w:noProof/>
                <w:color w:val="000000"/>
              </w:rPr>
              <w:drawing>
                <wp:inline distT="0" distB="0" distL="0" distR="0">
                  <wp:extent cx="1356356" cy="1348739"/>
                  <wp:effectExtent l="0" t="0" r="0" b="0"/>
                  <wp:docPr id="1" name="圖片 1" descr="Photograp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56356" cy="1348739"/>
                          </a:xfrm>
                          <a:prstGeom prst="rect">
                            <a:avLst/>
                          </a:prstGeom>
                          <a:noFill/>
                          <a:ln>
                            <a:noFill/>
                            <a:prstDash/>
                          </a:ln>
                        </pic:spPr>
                      </pic:pic>
                    </a:graphicData>
                  </a:graphic>
                </wp:inline>
              </w:drawing>
            </w:r>
            <w:r>
              <w:t xml:space="preserve">   </w:t>
            </w:r>
          </w:p>
        </w:tc>
        <w:tc>
          <w:tcPr>
            <w:tcW w:w="6923" w:type="dxa"/>
            <w:shd w:val="clear" w:color="auto" w:fill="auto"/>
            <w:tcMar>
              <w:top w:w="0" w:type="dxa"/>
              <w:left w:w="28" w:type="dxa"/>
              <w:bottom w:w="0" w:type="dxa"/>
              <w:right w:w="28" w:type="dxa"/>
            </w:tcMar>
          </w:tcPr>
          <w:p w:rsidR="00A74B51" w:rsidRDefault="00000C88">
            <w:pPr>
              <w:ind w:left="1121" w:hanging="1121"/>
              <w:jc w:val="both"/>
            </w:pPr>
            <w:r>
              <w:rPr>
                <w:rFonts w:ascii="標楷體" w:eastAsia="標楷體" w:hAnsi="標楷體"/>
                <w:b/>
                <w:sz w:val="56"/>
                <w:szCs w:val="56"/>
              </w:rPr>
              <w:t>臺灣臺北地方法院新聞稿</w:t>
            </w:r>
          </w:p>
          <w:p w:rsidR="00A74B51" w:rsidRDefault="00000C88">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發稿日期：110年</w:t>
            </w:r>
            <w:r w:rsidR="00D44BCE">
              <w:rPr>
                <w:rFonts w:ascii="標楷體" w:eastAsia="標楷體" w:hAnsi="標楷體"/>
                <w:sz w:val="28"/>
                <w:szCs w:val="28"/>
              </w:rPr>
              <w:t>9</w:t>
            </w:r>
            <w:r>
              <w:rPr>
                <w:rFonts w:ascii="標楷體" w:eastAsia="標楷體" w:hAnsi="標楷體"/>
                <w:sz w:val="28"/>
                <w:szCs w:val="28"/>
              </w:rPr>
              <w:t>月</w:t>
            </w:r>
            <w:r w:rsidR="00D44BCE">
              <w:rPr>
                <w:rFonts w:ascii="標楷體" w:eastAsia="標楷體" w:hAnsi="標楷體"/>
                <w:sz w:val="28"/>
                <w:szCs w:val="28"/>
              </w:rPr>
              <w:t>10</w:t>
            </w:r>
            <w:r>
              <w:rPr>
                <w:rFonts w:ascii="標楷體" w:eastAsia="標楷體" w:hAnsi="標楷體"/>
                <w:sz w:val="28"/>
                <w:szCs w:val="28"/>
              </w:rPr>
              <w:t>日</w:t>
            </w:r>
          </w:p>
          <w:p w:rsidR="00A74B51" w:rsidRDefault="00000C88">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發稿單位：公共關係室</w:t>
            </w:r>
          </w:p>
          <w:p w:rsidR="00A74B51" w:rsidRDefault="00000C88">
            <w:pPr>
              <w:spacing w:line="0" w:lineRule="atLeast"/>
              <w:ind w:left="560" w:hanging="560"/>
              <w:jc w:val="both"/>
            </w:pPr>
            <w:r>
              <w:rPr>
                <w:rFonts w:ascii="標楷體" w:eastAsia="標楷體" w:hAnsi="標楷體"/>
                <w:sz w:val="28"/>
                <w:szCs w:val="28"/>
              </w:rPr>
              <w:t xml:space="preserve">    連 絡 人：</w:t>
            </w:r>
            <w:r>
              <w:rPr>
                <w:rFonts w:ascii="標楷體" w:eastAsia="標楷體" w:hAnsi="標楷體"/>
                <w:sz w:val="28"/>
                <w:szCs w:val="28"/>
                <w:lang w:eastAsia="zh-HK"/>
              </w:rPr>
              <w:t>行政庭長</w:t>
            </w:r>
            <w:r>
              <w:rPr>
                <w:rFonts w:ascii="標楷體" w:eastAsia="標楷體" w:hAnsi="標楷體"/>
                <w:sz w:val="28"/>
                <w:szCs w:val="28"/>
              </w:rPr>
              <w:t xml:space="preserve">  </w:t>
            </w:r>
            <w:r>
              <w:rPr>
                <w:rFonts w:ascii="標楷體" w:eastAsia="標楷體" w:hAnsi="標楷體"/>
                <w:sz w:val="28"/>
                <w:szCs w:val="28"/>
                <w:lang w:eastAsia="zh-HK"/>
              </w:rPr>
              <w:t>黃珮禎</w:t>
            </w:r>
          </w:p>
          <w:p w:rsidR="00A74B51" w:rsidRDefault="00000C88" w:rsidP="00D44BCE">
            <w:pPr>
              <w:spacing w:line="0" w:lineRule="atLeast"/>
              <w:ind w:left="560" w:hanging="560"/>
              <w:jc w:val="both"/>
            </w:pPr>
            <w:r>
              <w:rPr>
                <w:rFonts w:ascii="標楷體" w:eastAsia="標楷體" w:hAnsi="標楷體"/>
                <w:kern w:val="0"/>
                <w:sz w:val="28"/>
                <w:szCs w:val="28"/>
              </w:rPr>
              <w:t xml:space="preserve">    連絡電話：</w:t>
            </w:r>
            <w:r>
              <w:rPr>
                <w:rFonts w:ascii="標楷體" w:eastAsia="標楷體" w:hAnsi="標楷體"/>
                <w:sz w:val="28"/>
                <w:szCs w:val="28"/>
              </w:rPr>
              <w:t>02-23146871分機6039</w:t>
            </w:r>
            <w:r>
              <w:rPr>
                <w:rFonts w:ascii="標楷體" w:eastAsia="標楷體" w:hAnsi="標楷體"/>
              </w:rPr>
              <w:t xml:space="preserve">  編號：110-3</w:t>
            </w:r>
            <w:r w:rsidR="00D44BCE">
              <w:rPr>
                <w:rFonts w:ascii="標楷體" w:eastAsia="標楷體" w:hAnsi="標楷體"/>
              </w:rPr>
              <w:t>9</w:t>
            </w:r>
          </w:p>
        </w:tc>
      </w:tr>
    </w:tbl>
    <w:p w:rsidR="00A74B51" w:rsidRDefault="00000C88">
      <w:pPr>
        <w:ind w:left="641" w:hanging="641"/>
        <w:jc w:val="both"/>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521</wp:posOffset>
                </wp:positionH>
                <wp:positionV relativeFrom="paragraph">
                  <wp:posOffset>184324</wp:posOffset>
                </wp:positionV>
                <wp:extent cx="5561966" cy="43818"/>
                <wp:effectExtent l="19050" t="19050" r="19684" b="32382"/>
                <wp:wrapNone/>
                <wp:docPr id="2" name="Line 2"/>
                <wp:cNvGraphicFramePr/>
                <a:graphic xmlns:a="http://schemas.openxmlformats.org/drawingml/2006/main">
                  <a:graphicData uri="http://schemas.microsoft.com/office/word/2010/wordprocessingShape">
                    <wps:wsp>
                      <wps:cNvCnPr/>
                      <wps:spPr>
                        <a:xfrm flipV="1">
                          <a:off x="0" y="0"/>
                          <a:ext cx="5561966" cy="43818"/>
                        </a:xfrm>
                        <a:prstGeom prst="straightConnector1">
                          <a:avLst/>
                        </a:prstGeom>
                        <a:noFill/>
                        <a:ln w="28575" cap="flat">
                          <a:solidFill>
                            <a:srgbClr val="000000"/>
                          </a:solidFill>
                          <a:prstDash val="solid"/>
                          <a:round/>
                        </a:ln>
                      </wps:spPr>
                      <wps:bodyPr/>
                    </wps:wsp>
                  </a:graphicData>
                </a:graphic>
              </wp:anchor>
            </w:drawing>
          </mc:Choice>
          <mc:Fallback>
            <w:pict>
              <v:shapetype w14:anchorId="29A66F30" id="_x0000_t32" coordsize="21600,21600" o:spt="32" o:oned="t" path="m,l21600,21600e" filled="f">
                <v:path arrowok="t" fillok="f" o:connecttype="none"/>
                <o:lock v:ext="edit" shapetype="t"/>
              </v:shapetype>
              <v:shape id="Line 2" o:spid="_x0000_s1026" type="#_x0000_t32" style="position:absolute;margin-left:.05pt;margin-top:14.5pt;width:437.95pt;height:3.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BRtwEAAFIDAAAOAAAAZHJzL2Uyb0RvYy54bWysU02P2jAQvVfqf7B8LwFaKI0IewBtL6sW&#10;qdveB8dOLDm2NeMl8O87dij9ulXNwbLn4828N5Ptw2Vw4qyRbPCNXMzmUmivQmt918ivz49vNlJQ&#10;At+CC1438qpJPuxev9qOsdbL0AfXahQM4qkeYyP7lGJdVaR6PQDNQtSenSbgAImf2FUtwsjog6uW&#10;8/m6GgO2EYPSRGw9TE65K/jGaJU+G0M6CddI7i2VE8t5yme120LdIcTeqlsb8A9dDGA9F71DHSCB&#10;eEH7F9RgFQYKJs1UGKpgjFW6cGA2i/kfbL70EHXhwuJQvMtE/w9WfTofUdi2kUspPAw8oifrtVhm&#10;ZcZINQfs/RFvL4pHzDQvBgdhnI3feOiFOFMRl6Lr9a6rviSh2LharRcf1mspFPvevd0sNhm9mmAy&#10;XERKH3UYRL40khKC7fq0D97zBANOJeD8RGlK/JGQk314tM6xHWrnxchMNqv3Ky4GvE/GQSr9UXC2&#10;zYE5jrA77R2KM+S1KN+to9/CcpUDUD/FFVcOgxrDi2+nTpxnJlmoSZp8O4X2WhQrdh5c4XpbsrwZ&#10;v75L9s9fYfcdAAD//wMAUEsDBBQABgAIAAAAIQBUptjv2wAAAAYBAAAPAAAAZHJzL2Rvd25yZXYu&#10;eG1sTI/BTsMwEETvSPyDtUjcqEMRpQlxKlQVqdcmqOdNvCSB2I5st035eran9rajWc28yVeTGcSR&#10;fOidVfA8S0CQbZzubavgq/p8WoIIEa3GwVlScKYAq+L+LsdMu5Pd0bGMreAQGzJU0MU4ZlKGpiOD&#10;YeZGsux9O28wsvSt1B5PHG4GOU+ShTTYW27ocKR1R81veTBcUpsq/Sm35786bLEa9xu/X2+UenyY&#10;Pt5BRJri9Rku+IwOBTPV7mB1EMNFi6hgnvIgdpdvCz5qBS+vKcgil7f4xT8AAAD//wMAUEsBAi0A&#10;FAAGAAgAAAAhALaDOJL+AAAA4QEAABMAAAAAAAAAAAAAAAAAAAAAAFtDb250ZW50X1R5cGVzXS54&#10;bWxQSwECLQAUAAYACAAAACEAOP0h/9YAAACUAQAACwAAAAAAAAAAAAAAAAAvAQAAX3JlbHMvLnJl&#10;bHNQSwECLQAUAAYACAAAACEAtJAwUbcBAABSAwAADgAAAAAAAAAAAAAAAAAuAgAAZHJzL2Uyb0Rv&#10;Yy54bWxQSwECLQAUAAYACAAAACEAVKbY79sAAAAGAQAADwAAAAAAAAAAAAAAAAARBAAAZHJzL2Rv&#10;d25yZXYueG1sUEsFBgAAAAAEAAQA8wAAABkFAAAAAA==&#10;" strokeweight="2.25pt"/>
            </w:pict>
          </mc:Fallback>
        </mc:AlternateContent>
      </w:r>
    </w:p>
    <w:p w:rsidR="00D44BCE" w:rsidRDefault="00D44BCE" w:rsidP="00D44BCE">
      <w:pPr>
        <w:suppressAutoHyphens w:val="0"/>
        <w:ind w:rightChars="235" w:right="564" w:firstLine="566"/>
        <w:jc w:val="center"/>
        <w:textAlignment w:val="auto"/>
        <w:rPr>
          <w:rFonts w:ascii="標楷體" w:eastAsia="標楷體" w:hAnsi="標楷體"/>
          <w:b/>
          <w:sz w:val="32"/>
          <w:szCs w:val="32"/>
          <w:lang w:eastAsia="zh-HK"/>
        </w:rPr>
      </w:pPr>
      <w:bookmarkStart w:id="0" w:name="_GoBack"/>
      <w:r w:rsidRPr="00D44BCE">
        <w:rPr>
          <w:rFonts w:ascii="標楷體" w:eastAsia="標楷體" w:hAnsi="標楷體" w:hint="eastAsia"/>
          <w:b/>
          <w:sz w:val="32"/>
          <w:szCs w:val="32"/>
          <w:lang w:eastAsia="zh-HK"/>
        </w:rPr>
        <w:t>有關本院處理勞務承攬包商派駐人員違反本院規定澄清新聞稿</w:t>
      </w:r>
    </w:p>
    <w:bookmarkEnd w:id="0"/>
    <w:p w:rsidR="00D44BCE" w:rsidRPr="00D44BCE" w:rsidRDefault="00D44BCE" w:rsidP="00D44BCE">
      <w:pPr>
        <w:suppressAutoHyphens w:val="0"/>
        <w:ind w:firstLine="566"/>
        <w:jc w:val="both"/>
        <w:textAlignment w:val="auto"/>
        <w:rPr>
          <w:rFonts w:ascii="標楷體" w:eastAsia="標楷體" w:hAnsi="標楷體"/>
          <w:sz w:val="28"/>
          <w:szCs w:val="28"/>
        </w:rPr>
      </w:pPr>
      <w:r w:rsidRPr="00D44BCE">
        <w:rPr>
          <w:rFonts w:ascii="標楷體" w:eastAsia="標楷體" w:hAnsi="標楷體" w:hint="eastAsia"/>
          <w:sz w:val="28"/>
          <w:szCs w:val="28"/>
        </w:rPr>
        <w:t>有關媒體報導本院「解雇」勞務承包商派駐人員或要求勞務承包商解雇派駐人員一事，與事實有落差，特澄清如下：</w:t>
      </w:r>
    </w:p>
    <w:p w:rsidR="00D44BCE" w:rsidRPr="00D44BCE" w:rsidRDefault="00D44BCE" w:rsidP="00D44BCE">
      <w:pPr>
        <w:suppressAutoHyphens w:val="0"/>
        <w:ind w:firstLine="566"/>
        <w:jc w:val="both"/>
        <w:textAlignment w:val="auto"/>
        <w:rPr>
          <w:rFonts w:ascii="標楷體" w:eastAsia="標楷體" w:hAnsi="標楷體"/>
          <w:sz w:val="28"/>
          <w:szCs w:val="28"/>
        </w:rPr>
      </w:pPr>
      <w:r w:rsidRPr="00D44BCE">
        <w:rPr>
          <w:rFonts w:ascii="標楷體" w:eastAsia="標楷體" w:hAnsi="標楷體" w:hint="eastAsia"/>
          <w:sz w:val="28"/>
          <w:szCs w:val="28"/>
        </w:rPr>
        <w:t>本院所在之司法新廈，因建築物老舊，且機關人員眾多，為司法新廈三個機關(另二個機關為法務部及臺灣臺北地方檢察署)中人數最多，用電量亦為最高。因此，為維持用電安全，並</w:t>
      </w:r>
      <w:r>
        <w:rPr>
          <w:rFonts w:ascii="標楷體" w:eastAsia="標楷體" w:hAnsi="標楷體" w:hint="eastAsia"/>
          <w:sz w:val="28"/>
          <w:szCs w:val="28"/>
          <w:lang w:eastAsia="zh-HK"/>
        </w:rPr>
        <w:t>避</w:t>
      </w:r>
      <w:r w:rsidRPr="00D44BCE">
        <w:rPr>
          <w:rFonts w:ascii="標楷體" w:eastAsia="標楷體" w:hAnsi="標楷體" w:hint="eastAsia"/>
          <w:sz w:val="28"/>
          <w:szCs w:val="28"/>
        </w:rPr>
        <w:t>免瞬間用電量過大，造成跳電或電線走火等意外，十餘年來均未准許機關同仁私自攜帶微波爐、烤箱、電鍋、電磁爐、電湯匙等瞬間高用電量之炊具到院使用，而為考量加熱食物之需求，本院在同仁辦公之樓層均設置有數個蒸飯箱供機關同仁使用，以兼顧機關用電安全及同仁需求。</w:t>
      </w:r>
    </w:p>
    <w:p w:rsidR="00D44BCE" w:rsidRPr="00D44BCE" w:rsidRDefault="00D44BCE" w:rsidP="00D44BCE">
      <w:pPr>
        <w:suppressAutoHyphens w:val="0"/>
        <w:ind w:firstLine="566"/>
        <w:jc w:val="both"/>
        <w:textAlignment w:val="auto"/>
        <w:rPr>
          <w:rFonts w:ascii="標楷體" w:eastAsia="標楷體" w:hAnsi="標楷體"/>
          <w:sz w:val="28"/>
          <w:szCs w:val="28"/>
        </w:rPr>
      </w:pPr>
      <w:r w:rsidRPr="00D44BCE">
        <w:rPr>
          <w:rFonts w:ascii="標楷體" w:eastAsia="標楷體" w:hAnsi="標楷體" w:hint="eastAsia"/>
          <w:sz w:val="28"/>
          <w:szCs w:val="28"/>
        </w:rPr>
        <w:t>惟九月初，承攬本院勞務業務之承包商派駐本院之張姓工作人員(其在本院處理之勞務為法官辦公室清潔、文件遞送等，勞務內容</w:t>
      </w:r>
      <w:r w:rsidRPr="00D44BCE">
        <w:rPr>
          <w:rFonts w:ascii="標楷體" w:eastAsia="標楷體" w:hAnsi="標楷體" w:hint="eastAsia"/>
          <w:sz w:val="28"/>
          <w:szCs w:val="28"/>
        </w:rPr>
        <w:lastRenderedPageBreak/>
        <w:t>與工友相似)，私自在其服務之法官辦公室放置微波爐，並向法官誆稱「係向總務科申請所得」。而於違規行為遭查獲後，又向其主管辯稱「係因不能吃冷食才私自攜帶微波爐至辦公室，且因座位狹小而暫放法官辦公室」。又於總務科調查時誆稱「該微波爐為法官所有」。張姓工友自行攜帶微波爐到院原已違反本院之規定，且在進行調查中一再為不實陳述，破壞信用基礎，本院自難再將法官辦公室的清潔及公文遞送等重要勞務交託張姓工作人員。因張姓工作人員為勞務承攬之包商派駐本院，本院無權解雇，對之亦無懲戒權，僅能通知承包商有關派駐人員違反本院工作規則之情形，請承包商依據其與張姓工作人員間之勞動契約，適當處理，以維持勞務品質。本院並無媒體所稱之不考量該名工作人員之適任性或未考量勞基法之問題而解雇此人或要求包商解雇之問題，媒體之報導，與事實應有落差，特予澄清。</w:t>
      </w:r>
    </w:p>
    <w:p w:rsidR="00A74B51" w:rsidRDefault="00D44BCE" w:rsidP="00D44BCE">
      <w:pPr>
        <w:suppressAutoHyphens w:val="0"/>
        <w:ind w:firstLine="566"/>
        <w:jc w:val="both"/>
        <w:textAlignment w:val="auto"/>
      </w:pPr>
      <w:r w:rsidRPr="00D44BCE">
        <w:rPr>
          <w:rFonts w:ascii="標楷體" w:eastAsia="標楷體" w:hAnsi="標楷體" w:hint="eastAsia"/>
          <w:sz w:val="28"/>
          <w:szCs w:val="28"/>
        </w:rPr>
        <w:t>張姓工作人員派駐本院二年多以來，工作表現因受到服務之法官青睞，法官對於張姓工作人員之違規行為如何處置甚為關心，連署院長，希望本院能提醒承包商就張姓工作人員之處置應符合正當程序及比例原則，本院已轉知承包商應遵守勞基法，給予張姓員工</w:t>
      </w:r>
      <w:r w:rsidRPr="00D44BCE">
        <w:rPr>
          <w:rFonts w:ascii="標楷體" w:eastAsia="標楷體" w:hAnsi="標楷體" w:hint="eastAsia"/>
          <w:sz w:val="28"/>
          <w:szCs w:val="28"/>
        </w:rPr>
        <w:lastRenderedPageBreak/>
        <w:t>公平及適當之處置。</w:t>
      </w:r>
    </w:p>
    <w:sectPr w:rsidR="00A74B51">
      <w:headerReference w:type="default" r:id="rId7"/>
      <w:footerReference w:type="default" r:id="rId8"/>
      <w:pgSz w:w="11906" w:h="16838"/>
      <w:pgMar w:top="1134" w:right="1701" w:bottom="1440" w:left="1843" w:header="851" w:footer="992" w:gutter="0"/>
      <w:cols w:space="720"/>
      <w:docGrid w:type="lines" w:linePitch="7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273" w:rsidRDefault="009E1273">
      <w:r>
        <w:separator/>
      </w:r>
    </w:p>
  </w:endnote>
  <w:endnote w:type="continuationSeparator" w:id="0">
    <w:p w:rsidR="009E1273" w:rsidRDefault="009E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95" w:rsidRDefault="00000C88">
    <w:pPr>
      <w:pStyle w:val="a3"/>
      <w:jc w:val="center"/>
    </w:pPr>
    <w:r>
      <w:rPr>
        <w:lang w:val="zh-TW"/>
      </w:rPr>
      <w:fldChar w:fldCharType="begin"/>
    </w:r>
    <w:r>
      <w:rPr>
        <w:lang w:val="zh-TW"/>
      </w:rPr>
      <w:instrText xml:space="preserve"> PAGE </w:instrText>
    </w:r>
    <w:r>
      <w:rPr>
        <w:lang w:val="zh-TW"/>
      </w:rPr>
      <w:fldChar w:fldCharType="separate"/>
    </w:r>
    <w:r w:rsidR="00E66D5E">
      <w:rPr>
        <w:noProof/>
        <w:lang w:val="zh-TW"/>
      </w:rPr>
      <w:t>1</w:t>
    </w:r>
    <w:r>
      <w:rPr>
        <w:lang w:val="zh-TW"/>
      </w:rPr>
      <w:fldChar w:fldCharType="end"/>
    </w:r>
  </w:p>
  <w:p w:rsidR="00595395" w:rsidRDefault="009E1273">
    <w:pPr>
      <w:pStyle w:val="a3"/>
      <w:ind w:left="400" w:hanging="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273" w:rsidRDefault="009E1273">
      <w:r>
        <w:rPr>
          <w:color w:val="000000"/>
        </w:rPr>
        <w:separator/>
      </w:r>
    </w:p>
  </w:footnote>
  <w:footnote w:type="continuationSeparator" w:id="0">
    <w:p w:rsidR="009E1273" w:rsidRDefault="009E1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95" w:rsidRDefault="009E1273">
    <w:pPr>
      <w:pStyle w:val="a6"/>
      <w:ind w:left="400" w:hanging="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51"/>
    <w:rsid w:val="00000C88"/>
    <w:rsid w:val="008A33EA"/>
    <w:rsid w:val="009E1273"/>
    <w:rsid w:val="00A74B51"/>
    <w:rsid w:val="00B969E4"/>
    <w:rsid w:val="00D24CA4"/>
    <w:rsid w:val="00D44BCE"/>
    <w:rsid w:val="00E66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FCDEC-7970-4526-BEF0-D07B319C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widowControl/>
      <w:tabs>
        <w:tab w:val="center" w:pos="4153"/>
        <w:tab w:val="right" w:pos="8306"/>
      </w:tabs>
      <w:snapToGrid w:val="0"/>
      <w:spacing w:line="360" w:lineRule="auto"/>
      <w:ind w:left="200" w:hanging="200"/>
    </w:pPr>
    <w:rPr>
      <w:rFonts w:ascii="Times New Roman" w:hAnsi="Times New Roman"/>
      <w:sz w:val="20"/>
      <w:szCs w:val="20"/>
    </w:rPr>
  </w:style>
  <w:style w:type="character" w:customStyle="1" w:styleId="a4">
    <w:name w:val="頁尾 字元"/>
    <w:basedOn w:val="a0"/>
    <w:rPr>
      <w:rFonts w:ascii="Times New Roman" w:eastAsia="新細明體" w:hAnsi="Times New Roman" w:cs="Times New Roman"/>
      <w:kern w:val="3"/>
      <w:sz w:val="20"/>
      <w:szCs w:val="20"/>
    </w:rPr>
  </w:style>
  <w:style w:type="character" w:styleId="a5">
    <w:name w:val="page number"/>
    <w:basedOn w:val="a0"/>
  </w:style>
  <w:style w:type="paragraph" w:styleId="a6">
    <w:name w:val="header"/>
    <w:basedOn w:val="a"/>
    <w:pPr>
      <w:widowControl/>
      <w:tabs>
        <w:tab w:val="center" w:pos="4153"/>
        <w:tab w:val="right" w:pos="8306"/>
      </w:tabs>
      <w:snapToGrid w:val="0"/>
      <w:spacing w:line="360" w:lineRule="auto"/>
      <w:ind w:left="200" w:hanging="200"/>
    </w:pPr>
    <w:rPr>
      <w:rFonts w:ascii="Times New Roman" w:hAnsi="Times New Roman"/>
      <w:sz w:val="20"/>
      <w:szCs w:val="20"/>
    </w:rPr>
  </w:style>
  <w:style w:type="character" w:customStyle="1" w:styleId="a7">
    <w:name w:val="頁首 字元"/>
    <w:basedOn w:val="a0"/>
    <w:rPr>
      <w:rFonts w:ascii="Times New Roman" w:eastAsia="新細明體" w:hAnsi="Times New Roman" w:cs="Times New Roman"/>
      <w:kern w:val="3"/>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styleId="aa">
    <w:name w:val="Hyperlink"/>
    <w:basedOn w:val="a0"/>
    <w:rPr>
      <w:color w:val="0563C1"/>
      <w:u w:val="single"/>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tpduser</dc:creator>
  <dc:description/>
  <cp:lastModifiedBy>tpduser</cp:lastModifiedBy>
  <cp:revision>2</cp:revision>
  <cp:lastPrinted>2021-08-27T06:22:00Z</cp:lastPrinted>
  <dcterms:created xsi:type="dcterms:W3CDTF">2021-09-10T04:35:00Z</dcterms:created>
  <dcterms:modified xsi:type="dcterms:W3CDTF">2021-09-10T04:35:00Z</dcterms:modified>
</cp:coreProperties>
</file>