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02" w:type="dxa"/>
        <w:tblInd w:w="-15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90"/>
        <w:gridCol w:w="6812"/>
      </w:tblGrid>
      <w:tr w:rsidR="0092209B">
        <w:trPr>
          <w:trHeight w:val="1971"/>
        </w:trPr>
        <w:tc>
          <w:tcPr>
            <w:tcW w:w="2390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2209B" w:rsidRDefault="00D82BA4">
            <w:pPr>
              <w:ind w:left="480" w:hanging="480"/>
              <w:jc w:val="center"/>
            </w:pPr>
            <w:r>
              <w:rPr>
                <w:noProof/>
                <w:color w:val="000000"/>
              </w:rPr>
              <w:drawing>
                <wp:inline distT="0" distB="0" distL="0" distR="0">
                  <wp:extent cx="1356356" cy="1348739"/>
                  <wp:effectExtent l="0" t="0" r="0" b="0"/>
                  <wp:docPr id="2" name="圖片 1" descr="Photograph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6356" cy="13487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   </w:t>
            </w:r>
          </w:p>
        </w:tc>
        <w:tc>
          <w:tcPr>
            <w:tcW w:w="6812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92209B" w:rsidRDefault="00D82BA4">
            <w:pPr>
              <w:ind w:left="1121" w:hanging="1121"/>
            </w:pPr>
            <w:r>
              <w:rPr>
                <w:rFonts w:ascii="標楷體" w:eastAsia="標楷體" w:hAnsi="標楷體"/>
                <w:b/>
                <w:sz w:val="56"/>
                <w:szCs w:val="56"/>
              </w:rPr>
              <w:t>臺灣</w:t>
            </w:r>
            <w:proofErr w:type="gramStart"/>
            <w:r>
              <w:rPr>
                <w:rFonts w:ascii="標楷體" w:eastAsia="標楷體" w:hAnsi="標楷體"/>
                <w:b/>
                <w:sz w:val="56"/>
                <w:szCs w:val="56"/>
              </w:rPr>
              <w:t>臺</w:t>
            </w:r>
            <w:proofErr w:type="gramEnd"/>
            <w:r>
              <w:rPr>
                <w:rFonts w:ascii="標楷體" w:eastAsia="標楷體" w:hAnsi="標楷體"/>
                <w:b/>
                <w:sz w:val="56"/>
                <w:szCs w:val="56"/>
              </w:rPr>
              <w:t>北地方法院新聞稿</w:t>
            </w:r>
          </w:p>
          <w:p w:rsidR="0092209B" w:rsidRDefault="00D82BA4">
            <w:pPr>
              <w:spacing w:line="0" w:lineRule="atLeast"/>
              <w:ind w:left="560" w:hanging="56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    發稿日期：113年</w:t>
            </w:r>
            <w:r w:rsidR="0014248A"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  <w:r>
              <w:rPr>
                <w:rFonts w:ascii="標楷體" w:eastAsia="標楷體" w:hAnsi="標楷體"/>
                <w:sz w:val="28"/>
                <w:szCs w:val="28"/>
              </w:rPr>
              <w:t>月</w:t>
            </w:r>
            <w:r w:rsidR="00C14D64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0C5CA9">
              <w:rPr>
                <w:rFonts w:ascii="標楷體" w:eastAsia="標楷體" w:hAnsi="標楷體"/>
                <w:sz w:val="28"/>
                <w:szCs w:val="28"/>
              </w:rPr>
              <w:t>9</w:t>
            </w:r>
            <w:r>
              <w:rPr>
                <w:rFonts w:ascii="標楷體" w:eastAsia="標楷體" w:hAnsi="標楷體"/>
                <w:sz w:val="28"/>
                <w:szCs w:val="28"/>
              </w:rPr>
              <w:t>日</w:t>
            </w:r>
          </w:p>
          <w:p w:rsidR="0092209B" w:rsidRDefault="00D82BA4">
            <w:pPr>
              <w:spacing w:line="0" w:lineRule="atLeast"/>
              <w:ind w:left="560" w:hanging="56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    發稿單位：發言人室</w:t>
            </w:r>
          </w:p>
          <w:p w:rsidR="0092209B" w:rsidRDefault="00D82BA4">
            <w:pPr>
              <w:spacing w:line="0" w:lineRule="atLeast"/>
              <w:ind w:left="560" w:hanging="56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    連 絡 人：行政庭長  黃柄</w:t>
            </w:r>
            <w:proofErr w:type="gramStart"/>
            <w:r>
              <w:rPr>
                <w:rFonts w:ascii="標楷體" w:eastAsia="標楷體" w:hAnsi="標楷體"/>
                <w:sz w:val="28"/>
                <w:szCs w:val="28"/>
              </w:rPr>
              <w:t>縉</w:t>
            </w:r>
            <w:proofErr w:type="gramEnd"/>
          </w:p>
          <w:p w:rsidR="0092209B" w:rsidRDefault="00D82BA4" w:rsidP="000C5CA9">
            <w:pPr>
              <w:spacing w:line="0" w:lineRule="atLeast"/>
              <w:ind w:left="560" w:hanging="560"/>
            </w:pP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    連絡電話：</w:t>
            </w:r>
            <w:r>
              <w:rPr>
                <w:rFonts w:ascii="標楷體" w:eastAsia="標楷體" w:hAnsi="標楷體"/>
                <w:sz w:val="28"/>
                <w:szCs w:val="28"/>
              </w:rPr>
              <w:t>02-23146871分機6039</w:t>
            </w:r>
            <w:r>
              <w:rPr>
                <w:rFonts w:ascii="標楷體" w:eastAsia="標楷體" w:hAnsi="標楷體"/>
              </w:rPr>
              <w:t xml:space="preserve">  編號：</w:t>
            </w:r>
            <w:r w:rsidR="00BC7FC9">
              <w:rPr>
                <w:rFonts w:ascii="標楷體" w:eastAsia="標楷體" w:hAnsi="標楷體" w:hint="eastAsia"/>
              </w:rPr>
              <w:t>11</w:t>
            </w:r>
            <w:r w:rsidR="00BC7FC9">
              <w:rPr>
                <w:rFonts w:ascii="標楷體" w:eastAsia="標楷體" w:hAnsi="標楷體"/>
              </w:rPr>
              <w:t>3-</w:t>
            </w:r>
            <w:r w:rsidR="0014248A">
              <w:rPr>
                <w:rFonts w:ascii="標楷體" w:eastAsia="標楷體" w:hAnsi="標楷體" w:hint="eastAsia"/>
              </w:rPr>
              <w:t>0</w:t>
            </w:r>
            <w:r w:rsidR="000C5CA9">
              <w:rPr>
                <w:rFonts w:ascii="標楷體" w:eastAsia="標楷體" w:hAnsi="標楷體"/>
              </w:rPr>
              <w:t>9</w:t>
            </w:r>
          </w:p>
        </w:tc>
      </w:tr>
    </w:tbl>
    <w:p w:rsidR="0092209B" w:rsidRDefault="00D82BA4">
      <w:pPr>
        <w:spacing w:line="560" w:lineRule="exact"/>
        <w:jc w:val="both"/>
      </w:pPr>
      <w:r>
        <w:rPr>
          <w:rFonts w:ascii="標楷體" w:eastAsia="標楷體" w:hAnsi="標楷體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190496</wp:posOffset>
                </wp:positionV>
                <wp:extent cx="5860417" cy="35561"/>
                <wp:effectExtent l="19050" t="19050" r="26033" b="21589"/>
                <wp:wrapNone/>
                <wp:docPr id="3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60417" cy="35561"/>
                        </a:xfrm>
                        <a:prstGeom prst="straightConnector1">
                          <a:avLst/>
                        </a:prstGeom>
                        <a:noFill/>
                        <a:ln w="2857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37CA500" id="_x0000_t32" coordsize="21600,21600" o:spt="32" o:oned="t" path="m,l21600,21600e" filled="f">
                <v:path arrowok="t" fillok="f" o:connecttype="none"/>
                <o:lock v:ext="edit" shapetype="t"/>
              </v:shapetype>
              <v:shape id="Line 2" o:spid="_x0000_s1026" type="#_x0000_t32" style="position:absolute;margin-left:0;margin-top:15pt;width:461.45pt;height:2.8pt;flip:y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" strokeweight="2.25pt"/>
            </w:pict>
          </mc:Fallback>
        </mc:AlternateContent>
      </w:r>
    </w:p>
    <w:p w:rsidR="000C5CA9" w:rsidRDefault="00C14D64" w:rsidP="0014248A">
      <w:pPr>
        <w:spacing w:line="560" w:lineRule="exact"/>
        <w:ind w:left="142" w:right="-1" w:firstLine="1"/>
        <w:jc w:val="center"/>
        <w:rPr>
          <w:rFonts w:ascii="標楷體" w:eastAsia="標楷體" w:hAnsi="標楷體"/>
          <w:b/>
          <w:sz w:val="32"/>
          <w:szCs w:val="32"/>
          <w:shd w:val="clear" w:color="auto" w:fill="FFFFFF"/>
          <w:lang w:eastAsia="zh-HK"/>
        </w:rPr>
      </w:pPr>
      <w:r w:rsidRPr="00C14D64">
        <w:rPr>
          <w:rFonts w:ascii="標楷體" w:eastAsia="標楷體" w:hAnsi="標楷體" w:hint="eastAsia"/>
          <w:b/>
          <w:sz w:val="32"/>
          <w:szCs w:val="32"/>
          <w:shd w:val="clear" w:color="auto" w:fill="FFFFFF"/>
          <w:lang w:eastAsia="zh-HK"/>
        </w:rPr>
        <w:t>臺灣</w:t>
      </w:r>
      <w:proofErr w:type="gramStart"/>
      <w:r w:rsidRPr="00C14D64">
        <w:rPr>
          <w:rFonts w:ascii="標楷體" w:eastAsia="標楷體" w:hAnsi="標楷體" w:hint="eastAsia"/>
          <w:b/>
          <w:sz w:val="32"/>
          <w:szCs w:val="32"/>
          <w:shd w:val="clear" w:color="auto" w:fill="FFFFFF"/>
          <w:lang w:eastAsia="zh-HK"/>
        </w:rPr>
        <w:t>臺</w:t>
      </w:r>
      <w:proofErr w:type="gramEnd"/>
      <w:r w:rsidRPr="00C14D64">
        <w:rPr>
          <w:rFonts w:ascii="標楷體" w:eastAsia="標楷體" w:hAnsi="標楷體" w:hint="eastAsia"/>
          <w:b/>
          <w:sz w:val="32"/>
          <w:szCs w:val="32"/>
          <w:shd w:val="clear" w:color="auto" w:fill="FFFFFF"/>
          <w:lang w:eastAsia="zh-HK"/>
        </w:rPr>
        <w:t>北地方法院</w:t>
      </w:r>
      <w:r w:rsidR="000C5CA9" w:rsidRPr="000C5CA9">
        <w:rPr>
          <w:rFonts w:ascii="標楷體" w:eastAsia="標楷體" w:hAnsi="標楷體" w:hint="eastAsia"/>
          <w:b/>
          <w:sz w:val="32"/>
          <w:szCs w:val="32"/>
          <w:shd w:val="clear" w:color="auto" w:fill="FFFFFF"/>
          <w:lang w:eastAsia="zh-HK"/>
        </w:rPr>
        <w:t>AI研討會掀起司法新紀元</w:t>
      </w:r>
    </w:p>
    <w:p w:rsidR="0092209B" w:rsidRDefault="000C5CA9" w:rsidP="0014248A">
      <w:pPr>
        <w:spacing w:line="560" w:lineRule="exact"/>
        <w:ind w:left="142" w:right="-1" w:firstLine="1"/>
        <w:jc w:val="center"/>
      </w:pPr>
      <w:r w:rsidRPr="000C5CA9">
        <w:rPr>
          <w:rFonts w:ascii="標楷體" w:eastAsia="標楷體" w:hAnsi="標楷體" w:hint="eastAsia"/>
          <w:b/>
          <w:sz w:val="32"/>
          <w:szCs w:val="32"/>
          <w:shd w:val="clear" w:color="auto" w:fill="FFFFFF"/>
          <w:lang w:eastAsia="zh-HK"/>
        </w:rPr>
        <w:t>智慧調解提高雙贏機率</w:t>
      </w:r>
      <w:r w:rsidR="004C58B2" w:rsidRPr="004C58B2">
        <w:rPr>
          <w:rFonts w:ascii="標楷體" w:eastAsia="標楷體" w:hAnsi="標楷體" w:hint="eastAsia"/>
          <w:b/>
          <w:sz w:val="32"/>
          <w:szCs w:val="32"/>
          <w:shd w:val="clear" w:color="auto" w:fill="FFFFFF"/>
          <w:lang w:eastAsia="zh-HK"/>
        </w:rPr>
        <w:t>新聞稿</w:t>
      </w:r>
    </w:p>
    <w:p w:rsidR="00A73D1D" w:rsidRDefault="00A73D1D" w:rsidP="00A73D1D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</w:p>
    <w:p w:rsidR="000C5CA9" w:rsidRPr="000C5CA9" w:rsidRDefault="00C14D64" w:rsidP="000C5CA9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  <w:r w:rsidRPr="00C14D64">
        <w:rPr>
          <w:rFonts w:ascii="標楷體" w:eastAsia="標楷體" w:hAnsi="標楷體" w:cs="新細明體" w:hint="eastAsia"/>
          <w:kern w:val="0"/>
          <w:sz w:val="28"/>
          <w:szCs w:val="28"/>
        </w:rPr>
        <w:t>為</w:t>
      </w:r>
      <w:r w:rsidR="000C5CA9"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人工智慧(AI)技術不斷精進，各領域均尋求運用AI提升效能。作為維護社會秩序的最後一道防線，司法體系如何善用AI技術也成為近年來重要課題。</w:t>
      </w:r>
    </w:p>
    <w:p w:rsidR="000C5CA9" w:rsidRPr="000C5CA9" w:rsidRDefault="000C5CA9" w:rsidP="000C5CA9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  <w:proofErr w:type="gramStart"/>
      <w:r>
        <w:rPr>
          <w:rFonts w:ascii="標楷體" w:eastAsia="標楷體" w:hAnsi="標楷體" w:cs="新細明體" w:hint="eastAsia"/>
          <w:kern w:val="0"/>
          <w:sz w:val="28"/>
          <w:szCs w:val="28"/>
          <w:lang w:eastAsia="zh-HK"/>
        </w:rPr>
        <w:t>臺</w:t>
      </w:r>
      <w:proofErr w:type="gramEnd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北地方法院</w:t>
      </w:r>
      <w:r w:rsidR="00275BE3">
        <w:rPr>
          <w:rFonts w:ascii="標楷體" w:eastAsia="標楷體" w:hAnsi="標楷體" w:cs="新細明體" w:hint="eastAsia"/>
          <w:kern w:val="0"/>
          <w:sz w:val="28"/>
          <w:szCs w:val="28"/>
          <w:lang w:eastAsia="zh-HK"/>
        </w:rPr>
        <w:t>今</w:t>
      </w:r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(19)日舉辦「家事調解委員研習」，邀請國立清華大學人文社會AI應用與發展研究中心副主任王道維主講「AI輔助親權酌定預測於家事調解之應用」。本次研習會吸引法官、司法事務官、家事調查官、法官助理及包括士林、新北地方法院之家事調解委員、社工等40餘位與會。</w:t>
      </w:r>
    </w:p>
    <w:p w:rsidR="000C5CA9" w:rsidRPr="000C5CA9" w:rsidRDefault="000C5CA9" w:rsidP="000C5CA9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會議由</w:t>
      </w:r>
      <w:proofErr w:type="gramStart"/>
      <w:r>
        <w:rPr>
          <w:rFonts w:ascii="標楷體" w:eastAsia="標楷體" w:hAnsi="標楷體" w:cs="新細明體" w:hint="eastAsia"/>
          <w:kern w:val="0"/>
          <w:sz w:val="28"/>
          <w:szCs w:val="28"/>
          <w:lang w:eastAsia="zh-HK"/>
        </w:rPr>
        <w:t>臺</w:t>
      </w:r>
      <w:proofErr w:type="gramEnd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北地方法院家事庭李莉苓庭長主持開場。她表示AI已逐漸運用於各領域,司法體系亦應與時俱進，善用科技工具提升工作效率。</w:t>
      </w:r>
      <w:proofErr w:type="gramStart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此外，</w:t>
      </w:r>
      <w:proofErr w:type="gramEnd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離婚後的親權訴訟往往對未成年子女造成心理創傷，依</w:t>
      </w:r>
      <w:proofErr w:type="gramStart"/>
      <w:r>
        <w:rPr>
          <w:rFonts w:ascii="標楷體" w:eastAsia="標楷體" w:hAnsi="標楷體" w:cs="新細明體" w:hint="eastAsia"/>
          <w:kern w:val="0"/>
          <w:sz w:val="28"/>
          <w:szCs w:val="28"/>
          <w:lang w:eastAsia="zh-HK"/>
        </w:rPr>
        <w:t>臺</w:t>
      </w:r>
      <w:proofErr w:type="gramEnd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北地院的經驗顯示，如果有調解法官參與調解能有效提升調解成功率。但</w:t>
      </w:r>
      <w:r>
        <w:rPr>
          <w:rFonts w:ascii="標楷體" w:eastAsia="標楷體" w:hAnsi="標楷體" w:cs="新細明體" w:hint="eastAsia"/>
          <w:kern w:val="0"/>
          <w:sz w:val="28"/>
          <w:szCs w:val="28"/>
          <w:lang w:eastAsia="zh-HK"/>
        </w:rPr>
        <w:t>臺</w:t>
      </w:r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北地院</w:t>
      </w:r>
      <w:r w:rsidR="00761F27">
        <w:rPr>
          <w:rFonts w:ascii="標楷體" w:eastAsia="標楷體" w:hAnsi="標楷體" w:cs="新細明體" w:hint="eastAsia"/>
          <w:kern w:val="0"/>
          <w:sz w:val="28"/>
          <w:szCs w:val="28"/>
          <w:lang w:eastAsia="zh-HK"/>
        </w:rPr>
        <w:t>僅</w:t>
      </w:r>
      <w:bookmarkStart w:id="0" w:name="_GoBack"/>
      <w:bookmarkEnd w:id="0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有2名專職全股的調解法官，人力遠遠不足。期待這個AI系統能適當應用於調解過程，為更多的家庭帶來助益。</w:t>
      </w:r>
    </w:p>
    <w:p w:rsidR="000C5CA9" w:rsidRPr="000C5CA9" w:rsidRDefault="000C5CA9" w:rsidP="000C5CA9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隨後，王教授簡介AI基本原理，並說明AI應用於司法案件時常見的誤解與限制。他公開清華大學人文社會AI應用與發展研究中心所開發的「AI輔助親權酌定預測系統」，透過標</w:t>
      </w:r>
      <w:proofErr w:type="gramStart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註</w:t>
      </w:r>
      <w:proofErr w:type="gramEnd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法官裁判理由與模型優化，目前預測準確率最高可達90%(含</w:t>
      </w:r>
      <w:proofErr w:type="gramStart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雙方共任親</w:t>
      </w:r>
      <w:proofErr w:type="gramEnd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權)，並提供三種輸入模式便於家事調解使用。</w:t>
      </w:r>
    </w:p>
    <w:p w:rsidR="000C5CA9" w:rsidRPr="000C5CA9" w:rsidRDefault="000C5CA9" w:rsidP="000C5CA9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lastRenderedPageBreak/>
        <w:t>王教授現場示範操作流程，提醒使用者如何正確解讀不同AI模型結果，避免盲從又能善加利用。透過與會者實際操作、提問與討論，參與者更了解該系統於家事調解過程中的各種潛在運用，希望藉此AI系統協助當事人分析個人的狀態、了解法官可能的裁判、幫助調解委員更有效向當事人說明司法見解，提高雙方達成共識機率，減少進入不必要的訴訟。</w:t>
      </w:r>
    </w:p>
    <w:p w:rsidR="000C5CA9" w:rsidRPr="000C5CA9" w:rsidRDefault="000C5CA9" w:rsidP="000C5CA9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與會法官和調解委員等對AI高準確度預測親權裁判表示驚訝，但對於如何應用於調解過程仍有疑慮。王教授回應，AI系統僅為工具，如何善用仍然需累積經驗分享。這也是此次研習會的主要目的，一切只是開端，期盼未來能累積</w:t>
      </w:r>
      <w:proofErr w:type="gramStart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更多善用</w:t>
      </w:r>
      <w:proofErr w:type="gramEnd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經驗。</w:t>
      </w:r>
    </w:p>
    <w:p w:rsidR="000C5CA9" w:rsidRDefault="000C5CA9" w:rsidP="000C5CA9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研習會圓滿結束，與會者也都更了解這項新興科技對未來生活的影響。透過</w:t>
      </w:r>
      <w:proofErr w:type="gramStart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科技賦能</w:t>
      </w:r>
      <w:proofErr w:type="gramEnd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，追求高品質有效率的司法將不再是遙不可及的夢想。期盼無論親權裁判或家事調解，都能藉AI的應用為當事人提供智慧、人性、公平及正義的司法服務。</w:t>
      </w:r>
    </w:p>
    <w:p w:rsidR="000C5CA9" w:rsidRPr="000C5CA9" w:rsidRDefault="000C5CA9" w:rsidP="000C5CA9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</w:p>
    <w:p w:rsidR="000C5CA9" w:rsidRPr="000C5CA9" w:rsidRDefault="000C5CA9" w:rsidP="000C5CA9">
      <w:pPr>
        <w:shd w:val="clear" w:color="auto" w:fill="FFFFFF"/>
        <w:suppressAutoHyphens w:val="0"/>
        <w:spacing w:line="480" w:lineRule="exact"/>
        <w:ind w:left="0" w:firstLine="0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  <w:proofErr w:type="gramStart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註</w:t>
      </w:r>
      <w:proofErr w:type="gramEnd"/>
      <w:r w:rsidRPr="000C5CA9">
        <w:rPr>
          <w:rFonts w:ascii="標楷體" w:eastAsia="標楷體" w:hAnsi="標楷體" w:cs="新細明體" w:hint="eastAsia"/>
          <w:kern w:val="0"/>
          <w:sz w:val="28"/>
          <w:szCs w:val="28"/>
        </w:rPr>
        <w:t>：國立清華大學「AI輔助親權酌定預測系統」的公開網址</w:t>
      </w:r>
    </w:p>
    <w:p w:rsidR="0014248A" w:rsidRPr="0014248A" w:rsidRDefault="000C5CA9" w:rsidP="000C5CA9">
      <w:pPr>
        <w:shd w:val="clear" w:color="auto" w:fill="FFFFFF"/>
        <w:suppressAutoHyphens w:val="0"/>
        <w:spacing w:line="480" w:lineRule="exact"/>
        <w:ind w:left="0" w:firstLineChars="202" w:firstLine="566"/>
        <w:jc w:val="both"/>
        <w:textAlignment w:val="auto"/>
        <w:rPr>
          <w:rFonts w:ascii="標楷體" w:eastAsia="標楷體" w:hAnsi="標楷體" w:cs="新細明體"/>
          <w:kern w:val="0"/>
          <w:sz w:val="28"/>
          <w:szCs w:val="28"/>
        </w:rPr>
      </w:pPr>
      <w:r w:rsidRPr="000C5CA9">
        <w:rPr>
          <w:rFonts w:ascii="標楷體" w:eastAsia="標楷體" w:hAnsi="標楷體" w:cs="新細明體"/>
          <w:kern w:val="0"/>
          <w:sz w:val="28"/>
          <w:szCs w:val="28"/>
        </w:rPr>
        <w:t>https://hssai-custodiai.phys.nthu.edu.tw/</w:t>
      </w:r>
    </w:p>
    <w:sectPr w:rsidR="0014248A" w:rsidRPr="0014248A">
      <w:headerReference w:type="default" r:id="rId8"/>
      <w:footerReference w:type="default" r:id="rId9"/>
      <w:pgSz w:w="11906" w:h="16838"/>
      <w:pgMar w:top="1134" w:right="1701" w:bottom="1440" w:left="1701" w:header="851" w:footer="992" w:gutter="0"/>
      <w:cols w:space="720"/>
      <w:docGrid w:type="lines" w:linePitch="16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2CE6" w:rsidRDefault="00732CE6">
      <w:pPr>
        <w:spacing w:line="240" w:lineRule="auto"/>
      </w:pPr>
      <w:r>
        <w:separator/>
      </w:r>
    </w:p>
  </w:endnote>
  <w:endnote w:type="continuationSeparator" w:id="0">
    <w:p w:rsidR="00732CE6" w:rsidRDefault="00732CE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3587" w:rsidRDefault="00D82BA4">
    <w:pPr>
      <w:pStyle w:val="a3"/>
      <w:ind w:left="400" w:hanging="40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1" name="文字方塊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:rsidR="005A3587" w:rsidRDefault="00D82BA4">
                          <w:pPr>
                            <w:pStyle w:val="a3"/>
                            <w:ind w:left="400" w:hanging="400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761F27">
                            <w:rPr>
                              <w:rStyle w:val="a4"/>
                              <w:noProof/>
                            </w:rPr>
                            <w:t>2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字方塊 1" o:spid="_x0000_s1026" type="#_x0000_t202" style="position:absolute;left:0;text-align:left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" filled="f" stroked="f">
              <v:textbox style="mso-fit-shape-to-text:t" inset="0,0,0,0">
                <w:txbxContent>
                  <w:p w:rsidR="005A3587" w:rsidRDefault="00D82BA4">
                    <w:pPr>
                      <w:pStyle w:val="a3"/>
                      <w:ind w:left="400" w:hanging="400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761F27">
                      <w:rPr>
                        <w:rStyle w:val="a4"/>
                        <w:noProof/>
                      </w:rPr>
                      <w:t>2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2CE6" w:rsidRDefault="00732CE6">
      <w:pPr>
        <w:spacing w:line="240" w:lineRule="auto"/>
      </w:pPr>
      <w:r>
        <w:rPr>
          <w:color w:val="000000"/>
        </w:rPr>
        <w:separator/>
      </w:r>
    </w:p>
  </w:footnote>
  <w:footnote w:type="continuationSeparator" w:id="0">
    <w:p w:rsidR="00732CE6" w:rsidRDefault="00732CE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3587" w:rsidRDefault="00732CE6">
    <w:pPr>
      <w:pStyle w:val="a9"/>
      <w:ind w:left="400" w:hanging="40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219A8"/>
    <w:multiLevelType w:val="hybridMultilevel"/>
    <w:tmpl w:val="DC2E7394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7956C0B"/>
    <w:multiLevelType w:val="hybridMultilevel"/>
    <w:tmpl w:val="EB20B014"/>
    <w:lvl w:ilvl="0" w:tplc="09961D7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95D467C"/>
    <w:multiLevelType w:val="hybridMultilevel"/>
    <w:tmpl w:val="BCA81220"/>
    <w:lvl w:ilvl="0" w:tplc="E26E17A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09B"/>
    <w:rsid w:val="00011B27"/>
    <w:rsid w:val="0008106F"/>
    <w:rsid w:val="000C5CA9"/>
    <w:rsid w:val="001278D6"/>
    <w:rsid w:val="0014248A"/>
    <w:rsid w:val="00213460"/>
    <w:rsid w:val="0023790D"/>
    <w:rsid w:val="0027151C"/>
    <w:rsid w:val="00275BE3"/>
    <w:rsid w:val="00294A07"/>
    <w:rsid w:val="002B1939"/>
    <w:rsid w:val="002E7123"/>
    <w:rsid w:val="003864BC"/>
    <w:rsid w:val="004511CB"/>
    <w:rsid w:val="004745F9"/>
    <w:rsid w:val="004B3F39"/>
    <w:rsid w:val="004C58B2"/>
    <w:rsid w:val="004F375D"/>
    <w:rsid w:val="0050453C"/>
    <w:rsid w:val="005258CD"/>
    <w:rsid w:val="0058367B"/>
    <w:rsid w:val="00616081"/>
    <w:rsid w:val="00657A6D"/>
    <w:rsid w:val="006643B6"/>
    <w:rsid w:val="00673FEC"/>
    <w:rsid w:val="00697675"/>
    <w:rsid w:val="00725483"/>
    <w:rsid w:val="00732CE6"/>
    <w:rsid w:val="00732FCB"/>
    <w:rsid w:val="00737D3D"/>
    <w:rsid w:val="00761F27"/>
    <w:rsid w:val="00780990"/>
    <w:rsid w:val="00804CEE"/>
    <w:rsid w:val="0088061A"/>
    <w:rsid w:val="008D0A09"/>
    <w:rsid w:val="00911135"/>
    <w:rsid w:val="0092209B"/>
    <w:rsid w:val="00926105"/>
    <w:rsid w:val="0094497A"/>
    <w:rsid w:val="00954610"/>
    <w:rsid w:val="009708B5"/>
    <w:rsid w:val="0097419E"/>
    <w:rsid w:val="00974750"/>
    <w:rsid w:val="009D2518"/>
    <w:rsid w:val="009F61ED"/>
    <w:rsid w:val="00A42C5A"/>
    <w:rsid w:val="00A73D1D"/>
    <w:rsid w:val="00A864BB"/>
    <w:rsid w:val="00A9190F"/>
    <w:rsid w:val="00A940E2"/>
    <w:rsid w:val="00AF443A"/>
    <w:rsid w:val="00B23F27"/>
    <w:rsid w:val="00B5367B"/>
    <w:rsid w:val="00B60C12"/>
    <w:rsid w:val="00BC7FC9"/>
    <w:rsid w:val="00C14D64"/>
    <w:rsid w:val="00C200B2"/>
    <w:rsid w:val="00C34E2A"/>
    <w:rsid w:val="00C9073F"/>
    <w:rsid w:val="00C92F76"/>
    <w:rsid w:val="00CB0F3B"/>
    <w:rsid w:val="00CE37A3"/>
    <w:rsid w:val="00CE467E"/>
    <w:rsid w:val="00D15ABF"/>
    <w:rsid w:val="00D2059A"/>
    <w:rsid w:val="00D56BAC"/>
    <w:rsid w:val="00D82BA4"/>
    <w:rsid w:val="00D9547B"/>
    <w:rsid w:val="00DB72A7"/>
    <w:rsid w:val="00E169DA"/>
    <w:rsid w:val="00E234AE"/>
    <w:rsid w:val="00E24EDD"/>
    <w:rsid w:val="00E3341D"/>
    <w:rsid w:val="00E41656"/>
    <w:rsid w:val="00E859A7"/>
    <w:rsid w:val="00EA6C81"/>
    <w:rsid w:val="00EC0188"/>
    <w:rsid w:val="00EE47E7"/>
    <w:rsid w:val="00EE4A85"/>
    <w:rsid w:val="00EF2177"/>
    <w:rsid w:val="00F2156F"/>
    <w:rsid w:val="00F5646F"/>
    <w:rsid w:val="00F86140"/>
    <w:rsid w:val="00FB10E9"/>
    <w:rsid w:val="00FB3E66"/>
    <w:rsid w:val="00FD2228"/>
    <w:rsid w:val="00FE6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58DF18"/>
  <w15:docId w15:val="{7A8513B6-51F2-41BE-86C9-73A85985A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  <w:spacing w:line="360" w:lineRule="auto"/>
      <w:ind w:left="200" w:hanging="200"/>
    </w:pPr>
    <w:rPr>
      <w:kern w:val="3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804CEE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4">
    <w:name w:val="page number"/>
    <w:basedOn w:val="a0"/>
  </w:style>
  <w:style w:type="paragraph" w:styleId="a5">
    <w:name w:val="Balloon Text"/>
    <w:basedOn w:val="a"/>
    <w:rPr>
      <w:rFonts w:ascii="Arial" w:hAnsi="Arial"/>
      <w:sz w:val="18"/>
      <w:szCs w:val="18"/>
    </w:rPr>
  </w:style>
  <w:style w:type="character" w:styleId="a6">
    <w:name w:val="annotation reference"/>
    <w:rPr>
      <w:sz w:val="18"/>
      <w:szCs w:val="18"/>
    </w:rPr>
  </w:style>
  <w:style w:type="paragraph" w:styleId="a7">
    <w:name w:val="annotation text"/>
    <w:basedOn w:val="a"/>
  </w:style>
  <w:style w:type="paragraph" w:styleId="a8">
    <w:name w:val="annotation subject"/>
    <w:basedOn w:val="a7"/>
    <w:next w:val="a7"/>
    <w:rPr>
      <w:b/>
      <w:bCs/>
    </w:rPr>
  </w:style>
  <w:style w:type="paragraph" w:styleId="3">
    <w:name w:val="Body Text Indent 3"/>
    <w:basedOn w:val="a"/>
    <w:rPr>
      <w:kern w:val="0"/>
      <w:szCs w:val="20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a">
    <w:name w:val="List Paragraph"/>
    <w:basedOn w:val="a"/>
    <w:pPr>
      <w:ind w:left="480"/>
    </w:pPr>
    <w:rPr>
      <w:rFonts w:ascii="Calibri" w:hAnsi="Calibri"/>
      <w:szCs w:val="22"/>
    </w:rPr>
  </w:style>
  <w:style w:type="table" w:styleId="ab">
    <w:name w:val="Table Grid"/>
    <w:basedOn w:val="a1"/>
    <w:uiPriority w:val="39"/>
    <w:rsid w:val="004C58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標題 1 字元"/>
    <w:basedOn w:val="a0"/>
    <w:link w:val="1"/>
    <w:uiPriority w:val="9"/>
    <w:rsid w:val="00804CEE"/>
    <w:rPr>
      <w:rFonts w:asciiTheme="majorHAnsi" w:eastAsiaTheme="majorEastAsia" w:hAnsiTheme="majorHAnsi" w:cstheme="majorBidi"/>
      <w:b/>
      <w:bCs/>
      <w:kern w:val="52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2</Pages>
  <Words>165</Words>
  <Characters>947</Characters>
  <Application>Microsoft Office Word</Application>
  <DocSecurity>0</DocSecurity>
  <Lines>7</Lines>
  <Paragraphs>2</Paragraphs>
  <ScaleCrop>false</ScaleCrop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學者簡介</dc:title>
  <dc:subject/>
  <dc:creator>ha-vivian</dc:creator>
  <cp:lastModifiedBy>tpduser</cp:lastModifiedBy>
  <cp:revision>5</cp:revision>
  <cp:lastPrinted>2024-04-19T06:00:00Z</cp:lastPrinted>
  <dcterms:created xsi:type="dcterms:W3CDTF">2024-04-18T06:39:00Z</dcterms:created>
  <dcterms:modified xsi:type="dcterms:W3CDTF">2024-04-19T08:00:00Z</dcterms:modified>
</cp:coreProperties>
</file>